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A49FB" w14:textId="2FCB3174" w:rsidR="007C1F87" w:rsidRDefault="00412CF7">
      <w:r>
        <w:t xml:space="preserve">Titolo: </w:t>
      </w:r>
      <w:r w:rsidR="003E5C79">
        <w:t>Il Canone Unico patrimoniale compie due anni</w:t>
      </w:r>
    </w:p>
    <w:p w14:paraId="06174B5E" w14:textId="77777777" w:rsidR="003E5C79" w:rsidRDefault="003E5C79" w:rsidP="00412CF7">
      <w:pPr>
        <w:jc w:val="both"/>
      </w:pPr>
    </w:p>
    <w:p w14:paraId="51BD5DE6" w14:textId="5EC1D6E3" w:rsidR="00E5254C" w:rsidRDefault="0059665E" w:rsidP="00412CF7">
      <w:pPr>
        <w:jc w:val="both"/>
      </w:pPr>
      <w:r>
        <w:t xml:space="preserve">Sono ormai </w:t>
      </w:r>
      <w:r w:rsidR="00AC5086">
        <w:t xml:space="preserve">trascorsi </w:t>
      </w:r>
      <w:r>
        <w:t xml:space="preserve">due </w:t>
      </w:r>
      <w:r w:rsidR="00412CF7">
        <w:t>anni dall</w:t>
      </w:r>
      <w:r>
        <w:t>’</w:t>
      </w:r>
      <w:r w:rsidR="00412CF7">
        <w:t>introduzione</w:t>
      </w:r>
      <w:r w:rsidR="008C0736" w:rsidRPr="008C0736">
        <w:t xml:space="preserve"> </w:t>
      </w:r>
      <w:r w:rsidR="008C0736">
        <w:t>del Canone Unico Patrimoniale</w:t>
      </w:r>
      <w:r w:rsidR="008E584E">
        <w:t>,</w:t>
      </w:r>
      <w:r w:rsidR="00412CF7">
        <w:t xml:space="preserve"> </w:t>
      </w:r>
      <w:r>
        <w:t>nel sistema delle entrate di competenza degli enti locali</w:t>
      </w:r>
      <w:r w:rsidR="008E584E">
        <w:t>,</w:t>
      </w:r>
      <w:r>
        <w:t xml:space="preserve"> </w:t>
      </w:r>
      <w:r w:rsidR="003E5C79">
        <w:t xml:space="preserve">ma non siamo ancora pronti a spegnere le candeline. Questo </w:t>
      </w:r>
      <w:r>
        <w:t xml:space="preserve">canone </w:t>
      </w:r>
      <w:r w:rsidR="00412CF7">
        <w:t xml:space="preserve">non ha visto una sua completa e corretta </w:t>
      </w:r>
      <w:r w:rsidR="0062445F">
        <w:t>applicazione</w:t>
      </w:r>
      <w:r w:rsidR="00412CF7">
        <w:t xml:space="preserve"> da parte degli </w:t>
      </w:r>
      <w:r w:rsidR="00AC5086">
        <w:t>uffici di Comuni</w:t>
      </w:r>
      <w:r w:rsidR="008C0736">
        <w:t>,</w:t>
      </w:r>
      <w:r w:rsidR="00AC5086">
        <w:t xml:space="preserve"> Province</w:t>
      </w:r>
      <w:r w:rsidR="003E5C79">
        <w:t>, Città Metropolitane e</w:t>
      </w:r>
      <w:r w:rsidR="00AC5086">
        <w:t xml:space="preserve"> loro concessionari</w:t>
      </w:r>
      <w:r w:rsidR="003E5C79">
        <w:t xml:space="preserve"> e in molti casi è come se fosse ancora in gestazione</w:t>
      </w:r>
      <w:r w:rsidR="00E5254C">
        <w:t xml:space="preserve">. </w:t>
      </w:r>
    </w:p>
    <w:p w14:paraId="3C3069F4" w14:textId="3BA0A8BA" w:rsidR="003E5C79" w:rsidRDefault="006B3EED" w:rsidP="00412CF7">
      <w:pPr>
        <w:jc w:val="both"/>
      </w:pPr>
      <w:r>
        <w:t>Molte Amministrazioni chiamate</w:t>
      </w:r>
      <w:r w:rsidR="00AC5086">
        <w:t xml:space="preserve"> </w:t>
      </w:r>
      <w:r w:rsidR="008C0736">
        <w:t xml:space="preserve">nel </w:t>
      </w:r>
      <w:r w:rsidR="003E5C79">
        <w:t xml:space="preserve">gennaio </w:t>
      </w:r>
      <w:r w:rsidR="008C0736">
        <w:t xml:space="preserve">2021 </w:t>
      </w:r>
      <w:r w:rsidR="00AC5086">
        <w:t>a</w:t>
      </w:r>
      <w:r>
        <w:t xml:space="preserve">d organizzare </w:t>
      </w:r>
      <w:r w:rsidR="00AC5086">
        <w:t xml:space="preserve">e interpretare il cambiamento radicale voluto dal Legislatore </w:t>
      </w:r>
      <w:r>
        <w:t xml:space="preserve">non si sono </w:t>
      </w:r>
      <w:r w:rsidR="003E5C79">
        <w:t xml:space="preserve">ancora </w:t>
      </w:r>
      <w:r>
        <w:t xml:space="preserve">attivate per dare forma alle </w:t>
      </w:r>
      <w:r w:rsidR="003E5C79">
        <w:t xml:space="preserve">molte </w:t>
      </w:r>
      <w:r>
        <w:t>novità richieste</w:t>
      </w:r>
      <w:r w:rsidR="003E5C79">
        <w:t>.</w:t>
      </w:r>
    </w:p>
    <w:p w14:paraId="4ED0CFF8" w14:textId="2C188F54" w:rsidR="00412CF7" w:rsidRDefault="003E5C79" w:rsidP="00412CF7">
      <w:pPr>
        <w:jc w:val="both"/>
      </w:pPr>
      <w:r>
        <w:t xml:space="preserve">Molteplici </w:t>
      </w:r>
      <w:r w:rsidR="00CC59C2">
        <w:t>la situazione</w:t>
      </w:r>
      <w:r>
        <w:t xml:space="preserve"> nelle quali gli Enti si solo limitati </w:t>
      </w:r>
      <w:r w:rsidR="00E17A97">
        <w:t>a cambiare nome all’entrata</w:t>
      </w:r>
      <w:r w:rsidR="008C0736">
        <w:t xml:space="preserve">, continuando di fatto a gestire </w:t>
      </w:r>
      <w:r>
        <w:t xml:space="preserve">i due presupposti legati alle occupazioni di suolo pubblico e alle iniziative pubblicitarie, secondo le regole e l’organizzazione messa in piedi per </w:t>
      </w:r>
      <w:r w:rsidR="008C0736">
        <w:t>i precedenti prelievi</w:t>
      </w:r>
      <w:r w:rsidR="006B3EED">
        <w:t xml:space="preserve">. </w:t>
      </w:r>
      <w:r w:rsidR="00E17A97">
        <w:t>Eppure l</w:t>
      </w:r>
      <w:r w:rsidR="006B3EED">
        <w:t>a nuova d</w:t>
      </w:r>
      <w:r w:rsidR="0062445F">
        <w:t xml:space="preserve">isciplina </w:t>
      </w:r>
      <w:r w:rsidR="00E17A97">
        <w:t>ha fissato</w:t>
      </w:r>
      <w:r w:rsidR="0062445F">
        <w:t xml:space="preserve"> principi</w:t>
      </w:r>
      <w:r w:rsidR="008E584E">
        <w:t xml:space="preserve"> per certi versi innovativi rispetto alle precedenti forme di </w:t>
      </w:r>
      <w:r w:rsidR="0062445F">
        <w:t xml:space="preserve">organizzazione e </w:t>
      </w:r>
      <w:r w:rsidR="008E584E">
        <w:t>gestione</w:t>
      </w:r>
      <w:r w:rsidR="00E5254C">
        <w:t xml:space="preserve"> dei tributi</w:t>
      </w:r>
      <w:r w:rsidR="00AC5086">
        <w:t xml:space="preserve">. </w:t>
      </w:r>
      <w:r w:rsidR="008E584E">
        <w:t>Un</w:t>
      </w:r>
      <w:r w:rsidR="006B3EED">
        <w:t xml:space="preserve">a serie di </w:t>
      </w:r>
      <w:r w:rsidR="00E17A97">
        <w:t>trasformazioni</w:t>
      </w:r>
      <w:r>
        <w:t xml:space="preserve"> che avrebbero dovuto stimolare l’innovazione, ma </w:t>
      </w:r>
      <w:r w:rsidR="008E584E">
        <w:t>che</w:t>
      </w:r>
      <w:r w:rsidR="0062445F">
        <w:t xml:space="preserve"> </w:t>
      </w:r>
      <w:r>
        <w:t xml:space="preserve">tuttavia </w:t>
      </w:r>
      <w:r w:rsidR="006B3EED">
        <w:t xml:space="preserve">ancora oggi </w:t>
      </w:r>
      <w:r w:rsidR="00412CF7">
        <w:t>tarda</w:t>
      </w:r>
      <w:r w:rsidR="00E17A97">
        <w:t>no</w:t>
      </w:r>
      <w:r w:rsidR="00412CF7">
        <w:t xml:space="preserve"> </w:t>
      </w:r>
      <w:r w:rsidR="008E584E">
        <w:t xml:space="preserve">ad arrivare per </w:t>
      </w:r>
      <w:r>
        <w:t>responsabilità</w:t>
      </w:r>
      <w:r w:rsidR="008E584E">
        <w:t xml:space="preserve"> delle stesse Pubbliche</w:t>
      </w:r>
      <w:r w:rsidR="00412CF7">
        <w:t xml:space="preserve"> Amministrazioni </w:t>
      </w:r>
      <w:r w:rsidR="008E584E">
        <w:t xml:space="preserve">che </w:t>
      </w:r>
      <w:r w:rsidR="0062445F">
        <w:t xml:space="preserve">evidentemente </w:t>
      </w:r>
      <w:r w:rsidR="008E584E">
        <w:t xml:space="preserve">hanno sottovalutato </w:t>
      </w:r>
      <w:r>
        <w:t xml:space="preserve">l’opportunità di questo </w:t>
      </w:r>
      <w:r w:rsidR="008E584E">
        <w:t>cambiamento</w:t>
      </w:r>
      <w:r w:rsidR="00412CF7">
        <w:t>.</w:t>
      </w:r>
    </w:p>
    <w:p w14:paraId="7D48AA9F" w14:textId="1C09AD27" w:rsidR="00E86A7E" w:rsidRDefault="003E5C79" w:rsidP="0062445F">
      <w:pPr>
        <w:jc w:val="both"/>
      </w:pPr>
      <w:r>
        <w:t xml:space="preserve">In questo approfondimento possiamo individuare alcune </w:t>
      </w:r>
      <w:r w:rsidR="00CC59C2">
        <w:t>delle principali</w:t>
      </w:r>
      <w:r w:rsidR="00412CF7">
        <w:t xml:space="preserve"> criticità </w:t>
      </w:r>
      <w:r>
        <w:t xml:space="preserve">che hanno </w:t>
      </w:r>
      <w:r w:rsidR="00CC59C2">
        <w:t>comportato questa</w:t>
      </w:r>
      <w:r w:rsidR="00E17A97">
        <w:t xml:space="preserve"> mancata svolta nella gestione del prelievo dedicato alle occupazioni di suolo pubblico e alle esposizioni pubblicitarie</w:t>
      </w:r>
      <w:r w:rsidR="00CC59C2">
        <w:t xml:space="preserve">. </w:t>
      </w:r>
      <w:r w:rsidR="00544E3A">
        <w:t xml:space="preserve">Non potendo per ragioni di spazio affrontare tutte le problematiche </w:t>
      </w:r>
      <w:r w:rsidR="00306A91">
        <w:t xml:space="preserve">ancora aperte </w:t>
      </w:r>
      <w:r w:rsidR="00544E3A">
        <w:t xml:space="preserve">sul campo, ci limitiamo a </w:t>
      </w:r>
      <w:r w:rsidR="009F0E8E">
        <w:t>sceglierne solo</w:t>
      </w:r>
      <w:r w:rsidR="00306A91">
        <w:t xml:space="preserve"> </w:t>
      </w:r>
      <w:r w:rsidR="00605DA2">
        <w:t>5</w:t>
      </w:r>
      <w:r w:rsidR="00544E3A">
        <w:t xml:space="preserve"> tra le più significative</w:t>
      </w:r>
      <w:r w:rsidR="00605DA2">
        <w:t xml:space="preserve">, rimandando a nuovi approfondimenti le </w:t>
      </w:r>
      <w:r w:rsidR="001E7D7B">
        <w:t xml:space="preserve">innumerevoli </w:t>
      </w:r>
      <w:r w:rsidR="00605DA2">
        <w:t>altre</w:t>
      </w:r>
      <w:r w:rsidR="00907365">
        <w:t xml:space="preserve"> che gli uffici si trovano quotidianamente ad affrontare</w:t>
      </w:r>
      <w:r w:rsidR="00544E3A">
        <w:t>.</w:t>
      </w:r>
    </w:p>
    <w:p w14:paraId="6E5AC715" w14:textId="77777777" w:rsidR="00E86A7E" w:rsidRDefault="00E86A7E" w:rsidP="0062445F">
      <w:pPr>
        <w:jc w:val="both"/>
      </w:pPr>
      <w:r>
        <w:t>BANCA DATI INADEGUATA</w:t>
      </w:r>
    </w:p>
    <w:p w14:paraId="64000B9C" w14:textId="3CC861C0" w:rsidR="00192A16" w:rsidRDefault="00CC59C2" w:rsidP="0062445F">
      <w:pPr>
        <w:jc w:val="both"/>
      </w:pPr>
      <w:r>
        <w:t xml:space="preserve">La prima, e in un certo senso la madre dei </w:t>
      </w:r>
      <w:r w:rsidR="00E86A7E">
        <w:t>problemi, è</w:t>
      </w:r>
      <w:r w:rsidR="00C42B08">
        <w:t xml:space="preserve"> </w:t>
      </w:r>
      <w:r w:rsidR="008C0736">
        <w:t xml:space="preserve">sicuramente </w:t>
      </w:r>
      <w:r w:rsidR="00C42B08">
        <w:t xml:space="preserve">rappresentata dall'inadeguatezza delle banche dati. Problematica </w:t>
      </w:r>
      <w:r w:rsidR="00E17A97">
        <w:t>che avevamo rilevato</w:t>
      </w:r>
      <w:r w:rsidR="00C42B08">
        <w:t xml:space="preserve"> </w:t>
      </w:r>
      <w:r w:rsidR="0062445F">
        <w:t>fin da</w:t>
      </w:r>
      <w:r w:rsidR="00C42B08">
        <w:t>i primi mesi</w:t>
      </w:r>
      <w:r w:rsidR="0062445F">
        <w:t xml:space="preserve"> </w:t>
      </w:r>
      <w:r w:rsidR="00E235BB">
        <w:t xml:space="preserve">di regime CUP </w:t>
      </w:r>
      <w:r w:rsidR="0062445F">
        <w:t xml:space="preserve">e che </w:t>
      </w:r>
      <w:r w:rsidR="00C42B08">
        <w:t>nel</w:t>
      </w:r>
      <w:r w:rsidR="0062445F">
        <w:t xml:space="preserve">la maggior parte dei casi </w:t>
      </w:r>
      <w:r w:rsidR="009577EC">
        <w:t>ritroviamo</w:t>
      </w:r>
      <w:r w:rsidR="00C42B08">
        <w:t xml:space="preserve"> </w:t>
      </w:r>
      <w:r w:rsidR="00E235BB">
        <w:t xml:space="preserve">ancora </w:t>
      </w:r>
      <w:r w:rsidR="00E17A97">
        <w:t xml:space="preserve">intatta </w:t>
      </w:r>
      <w:r w:rsidR="00C42B08">
        <w:t xml:space="preserve">a distanza </w:t>
      </w:r>
      <w:r w:rsidR="0062445F">
        <w:t>di due anni</w:t>
      </w:r>
      <w:r w:rsidR="00412CF7">
        <w:t xml:space="preserve">. </w:t>
      </w:r>
    </w:p>
    <w:p w14:paraId="1D5009FB" w14:textId="70CA53A9" w:rsidR="0062445F" w:rsidRDefault="00412CF7" w:rsidP="0062445F">
      <w:pPr>
        <w:jc w:val="both"/>
      </w:pPr>
      <w:r>
        <w:t xml:space="preserve">La </w:t>
      </w:r>
      <w:r w:rsidR="00FB3A76">
        <w:t xml:space="preserve">mera </w:t>
      </w:r>
      <w:r>
        <w:t xml:space="preserve">migrazione </w:t>
      </w:r>
      <w:r w:rsidR="00FB3A76">
        <w:t xml:space="preserve">dei dati </w:t>
      </w:r>
      <w:r>
        <w:t xml:space="preserve">dai precedenti prelievi non </w:t>
      </w:r>
      <w:r w:rsidR="0062445F">
        <w:t xml:space="preserve">poteva e non </w:t>
      </w:r>
      <w:r>
        <w:t>può ritenersi esaustiva</w:t>
      </w:r>
      <w:r w:rsidR="0062445F">
        <w:t xml:space="preserve"> nel nuovo contesto normativo. Salvo poche eccezioni non si è dato seguito alla </w:t>
      </w:r>
      <w:r w:rsidR="00FB3A76">
        <w:t xml:space="preserve">richiesta </w:t>
      </w:r>
      <w:r w:rsidR="0062445F">
        <w:t>s</w:t>
      </w:r>
      <w:r>
        <w:t xml:space="preserve">incronizzazione delle posizioni soggette a canone con le rispettive concessioni e autorizzazioni. Diverse occupazioni di suolo pubblico e molte, probabilmente la maggior parte, delle esposizioni pubblicitarie, hanno il titolo </w:t>
      </w:r>
      <w:r w:rsidR="0062445F">
        <w:t xml:space="preserve">amministrativo </w:t>
      </w:r>
      <w:r>
        <w:t xml:space="preserve">scaduto o non l'hanno proprio mai ottenuto. </w:t>
      </w:r>
      <w:r w:rsidR="00192A16">
        <w:t xml:space="preserve"> </w:t>
      </w:r>
      <w:r>
        <w:t xml:space="preserve">Situazione figlia di una gestione dei prelievi precedenti quando gli uffici comunali e i concessionari, erano concentrati solo sul presupposto tributario e spedivano annualmente le richieste di pagamento senza richiamare il titolo autorizzatorio, e senza condizionarne l'invio. </w:t>
      </w:r>
    </w:p>
    <w:p w14:paraId="67DABDFD" w14:textId="2458DD45" w:rsidR="00412CF7" w:rsidRDefault="0062445F" w:rsidP="0062445F">
      <w:pPr>
        <w:jc w:val="both"/>
      </w:pPr>
      <w:r>
        <w:t>Ancora oggi</w:t>
      </w:r>
      <w:r w:rsidR="009577EC">
        <w:t>, e tutto lascia presagire che sarà così anche per i prossim</w:t>
      </w:r>
      <w:r w:rsidR="009F0E8E">
        <w:t>i</w:t>
      </w:r>
      <w:r w:rsidR="009577EC">
        <w:t xml:space="preserve"> </w:t>
      </w:r>
      <w:r w:rsidR="00192A16">
        <w:t>compleann</w:t>
      </w:r>
      <w:r w:rsidR="009F0E8E">
        <w:t>i</w:t>
      </w:r>
      <w:r w:rsidR="00192A16">
        <w:t xml:space="preserve"> del CUP</w:t>
      </w:r>
      <w:r w:rsidR="009577EC">
        <w:t xml:space="preserve">, </w:t>
      </w:r>
      <w:r>
        <w:t xml:space="preserve">assistiamo a situazioni in cui occupazioni ed esposizioni pubblicitarie hanno concessioni ed </w:t>
      </w:r>
      <w:r w:rsidR="00412CF7">
        <w:t>autorizzazioni</w:t>
      </w:r>
      <w:r>
        <w:t xml:space="preserve"> scadute nel lo</w:t>
      </w:r>
      <w:r w:rsidR="00412CF7">
        <w:t>ro periodo originario e che prosegu</w:t>
      </w:r>
      <w:r w:rsidR="00C42B08">
        <w:t>ono</w:t>
      </w:r>
      <w:r w:rsidR="00412CF7">
        <w:t xml:space="preserve"> regolarmente </w:t>
      </w:r>
      <w:r>
        <w:t>ad insistere sul territorio comunale con il solo pagamento del Canone Unico</w:t>
      </w:r>
      <w:r w:rsidR="00412CF7">
        <w:t xml:space="preserve">, in una sorta di legittimazione a continuare a occupare </w:t>
      </w:r>
      <w:r w:rsidR="009577EC">
        <w:t xml:space="preserve">o a esporre </w:t>
      </w:r>
      <w:r w:rsidR="00412CF7">
        <w:t>oltre il termine autorizzato.</w:t>
      </w:r>
    </w:p>
    <w:p w14:paraId="1B4A81D1" w14:textId="049832C3" w:rsidR="00334D97" w:rsidRDefault="00334D97" w:rsidP="0062445F">
      <w:pPr>
        <w:jc w:val="both"/>
      </w:pPr>
      <w:r>
        <w:t>SOGGETTIVITA’ PASSIVA IN VIA MEDIATA</w:t>
      </w:r>
    </w:p>
    <w:p w14:paraId="63A3A346" w14:textId="3A5BCFB4" w:rsidR="00E86A7E" w:rsidRDefault="00E86A7E" w:rsidP="0062445F">
      <w:pPr>
        <w:jc w:val="both"/>
      </w:pPr>
      <w:r>
        <w:t>Un'altra importante criticità lontana dall’essere risolta riguarda la portata del comma 831, ovvero la disciplina prevista per le occupazioni permanenti eseguite dalle aziende che erogano pubblici servizi. In particolare la problematica relativa il controllo da parte degli uffici</w:t>
      </w:r>
      <w:r w:rsidR="001E7D7B">
        <w:t xml:space="preserve"> comunali </w:t>
      </w:r>
      <w:r>
        <w:t>sulle dichiarazioni fornite. Fenomeno molto evidente quando andiamo ad analizzare il settore delle telecomunicazioni</w:t>
      </w:r>
      <w:r w:rsidR="00334D97">
        <w:t>, per le quali il Legislatore ha previsto una delle maggiori novità della disciplina CUP. Parliamo della soggettività passiva in via mediata.</w:t>
      </w:r>
    </w:p>
    <w:p w14:paraId="64365712" w14:textId="77777777" w:rsidR="00E86A7E" w:rsidRDefault="00E86A7E" w:rsidP="00E86A7E">
      <w:pPr>
        <w:jc w:val="both"/>
      </w:pPr>
      <w:r>
        <w:lastRenderedPageBreak/>
        <w:t>La soggettività passiva in via mediata rappresenta senza dubbio una novità importante nel contesto della disciplina delle occupazioni di suolo e sottosuolo pubblico, una vera unicità che trova applicazione in particolare nel se</w:t>
      </w:r>
      <w:r w:rsidRPr="00CE5D93">
        <w:t xml:space="preserve">ttore </w:t>
      </w:r>
      <w:r>
        <w:t>della telefonia, caratterizzato da un m</w:t>
      </w:r>
      <w:r w:rsidRPr="00CE5D93">
        <w:t xml:space="preserve">ercato </w:t>
      </w:r>
      <w:r>
        <w:t xml:space="preserve">aperto, con la presenza di diverse </w:t>
      </w:r>
      <w:r w:rsidRPr="00CE5D93">
        <w:t>compagnie che erogano</w:t>
      </w:r>
      <w:r>
        <w:t xml:space="preserve"> i propri</w:t>
      </w:r>
      <w:r w:rsidRPr="00CE5D93">
        <w:t xml:space="preserve"> </w:t>
      </w:r>
      <w:r>
        <w:t>servizi</w:t>
      </w:r>
      <w:r w:rsidRPr="00CE5D93">
        <w:t xml:space="preserve"> sfruttando le moderne </w:t>
      </w:r>
      <w:r>
        <w:t xml:space="preserve">tecnologie di comunicazione. Le reti telefoniche consentono oggi una ampia multicanalità, dove la condivisione dei cavi e delle condutture è un’opzione incentivata dalle stesse normative europee. </w:t>
      </w:r>
    </w:p>
    <w:p w14:paraId="13B73B9D" w14:textId="77777777" w:rsidR="00E86A7E" w:rsidRDefault="00E86A7E" w:rsidP="00E86A7E">
      <w:pPr>
        <w:jc w:val="both"/>
      </w:pPr>
      <w:r>
        <w:t>In questi primi due anni di disciplina del Canone Unico, in cui questa novità avrebbe dovuto trovare applicazione, si è dovuto tuttavia constatare come diverse primarie compagnie, quando non direttamente titolari di concessioni, ignorino la disposizione, ritenendosi evidentemente non coinvolte dalla novità.</w:t>
      </w:r>
    </w:p>
    <w:p w14:paraId="3245AD0D" w14:textId="4AC6AA54" w:rsidR="00334D97" w:rsidRDefault="00E86A7E" w:rsidP="00E86A7E">
      <w:pPr>
        <w:jc w:val="both"/>
      </w:pPr>
      <w:r>
        <w:t>Soluzione per gli Enti Locali non accettabile, che impone l’attivazione di procedure volte a recuperare l’entrata di propria competenza ancora non versata</w:t>
      </w:r>
      <w:r w:rsidR="00CF320A">
        <w:t>.</w:t>
      </w:r>
    </w:p>
    <w:p w14:paraId="7B18EAC4" w14:textId="4DAAA499" w:rsidR="00334D97" w:rsidRDefault="00334D97" w:rsidP="00E86A7E">
      <w:pPr>
        <w:jc w:val="both"/>
      </w:pPr>
      <w:r>
        <w:t>L</w:t>
      </w:r>
      <w:r w:rsidR="00306A91">
        <w:t xml:space="preserve">A CORRETTA APPLICAZIONE PER LE </w:t>
      </w:r>
      <w:r>
        <w:t>ANTENNE</w:t>
      </w:r>
    </w:p>
    <w:p w14:paraId="2DEB152E" w14:textId="009142B0" w:rsidR="00334D97" w:rsidRDefault="00334D97" w:rsidP="00E86A7E">
      <w:pPr>
        <w:jc w:val="both"/>
      </w:pPr>
      <w:r>
        <w:t xml:space="preserve">Un altro tema spinoso è quello della corretta applicazione del Canone alle Antenne e </w:t>
      </w:r>
      <w:r w:rsidR="00CF320A">
        <w:t>de</w:t>
      </w:r>
      <w:r>
        <w:t xml:space="preserve">i Ripetitori, che il Legislatore </w:t>
      </w:r>
      <w:r w:rsidR="0023139D">
        <w:t>ha affrontato introducendo nella disciplina il comma 831-bis, con il quale si h</w:t>
      </w:r>
      <w:r w:rsidR="0023139D" w:rsidRPr="0023139D">
        <w:t xml:space="preserve">a </w:t>
      </w:r>
      <w:proofErr w:type="gramStart"/>
      <w:r w:rsidR="0023139D" w:rsidRPr="0023139D">
        <w:t>imposto  l’applicazione</w:t>
      </w:r>
      <w:proofErr w:type="gramEnd"/>
      <w:r w:rsidR="0023139D" w:rsidRPr="0023139D">
        <w:t xml:space="preserve"> della tariffa forfettaria per tutte le occupazioni realizzate da infrastrutture di comunicazione elettronica che non sono già attratte dalla previsione contenuta nel precedente comma 831</w:t>
      </w:r>
      <w:r w:rsidR="0023139D">
        <w:t>.</w:t>
      </w:r>
    </w:p>
    <w:p w14:paraId="0512B05C" w14:textId="7C6A8759" w:rsidR="0023139D" w:rsidRDefault="0023139D" w:rsidP="0023139D">
      <w:pPr>
        <w:jc w:val="both"/>
      </w:pPr>
      <w:r>
        <w:t>L’ambito di applicazione della norma, è rivolto esclusivamente agli impianti localizzati in aree ricadenti nel demanio o nel patrimonio indisponibile dell’Ente, così come disposto dallo stesso comma 819 della Legge 160/2019, presupposto legato poi all’art. 93 del d.lgs. 259/2003 ovvero al Codice delle comunicazioni elettroniche.</w:t>
      </w:r>
    </w:p>
    <w:p w14:paraId="644E645D" w14:textId="7C0B4580" w:rsidR="00CF320A" w:rsidRDefault="0023139D" w:rsidP="00CF320A">
      <w:pPr>
        <w:jc w:val="both"/>
      </w:pPr>
      <w:r>
        <w:t>Dal testo normativa tuttavia non si comprende come calcolare il dovuto, se il riferimento per l’attribuzione della tariffa di 800 euro deve intendersi l’infrastruttura nel suo complesso, o se ogni impianto ospitato su un traliccio deve essere valutato come un oggetto rientrante nell’ambito di applicazione.</w:t>
      </w:r>
      <w:r w:rsidR="00CF320A">
        <w:t xml:space="preserve"> Interrogativo non ancora affrontato dalla giurisprudenza, </w:t>
      </w:r>
      <w:proofErr w:type="gramStart"/>
      <w:r w:rsidR="00CF320A">
        <w:t>ne</w:t>
      </w:r>
      <w:proofErr w:type="gramEnd"/>
      <w:r w:rsidR="00CF320A">
        <w:t xml:space="preserve"> dagli stessi uffici ministeriali o da altri soggetti istituzionali. </w:t>
      </w:r>
    </w:p>
    <w:p w14:paraId="417E1EB5" w14:textId="5F6CB172" w:rsidR="00334D97" w:rsidRDefault="00306A91" w:rsidP="00E86A7E">
      <w:pPr>
        <w:jc w:val="both"/>
      </w:pPr>
      <w:r>
        <w:t>LA SOGGETTIVITA’ ATTIVA DEL CANONE</w:t>
      </w:r>
    </w:p>
    <w:p w14:paraId="67E05BB9" w14:textId="49B0578E" w:rsidR="00306A91" w:rsidRDefault="00306A91" w:rsidP="00E86A7E">
      <w:pPr>
        <w:jc w:val="both"/>
      </w:pPr>
      <w:r>
        <w:t>Una delle prime problematiche affrontate e oggi ancora non del tutta risolta è quella che riguarda la competenza su alcuni tratti di strada provinciali, regionali o statali dove non è chiaro a chi spetti la riscossione del canone, sia per le occupazioni di suolo pubblico, sia per le iniziative pubblicitarie. Da più parti vengono ancora segnalate duplicazioni di richieste che mettono i contribuenti in difficoltà nel capire a quale ente versare.</w:t>
      </w:r>
    </w:p>
    <w:p w14:paraId="0D1BCA71" w14:textId="7782733D" w:rsidR="00306A91" w:rsidRDefault="00306A91" w:rsidP="00E86A7E">
      <w:pPr>
        <w:jc w:val="both"/>
      </w:pPr>
      <w:r w:rsidRPr="00306A91">
        <w:t>Il legislatore nel comma 818 della Legge 160 definisce la competenza comunale comprendendo tutti i tratti di strada situati all’interno di centri abitati di comuni con popolazione superiore a 10.000 abitanti. Definizione</w:t>
      </w:r>
      <w:r>
        <w:t xml:space="preserve"> incompleta </w:t>
      </w:r>
      <w:r w:rsidRPr="00306A91">
        <w:t>che</w:t>
      </w:r>
      <w:r>
        <w:t xml:space="preserve"> </w:t>
      </w:r>
      <w:r w:rsidRPr="00306A91">
        <w:t xml:space="preserve">lascia aperta la problematica sulla competenza </w:t>
      </w:r>
      <w:r>
        <w:t>tra i diversi enti territoriali.</w:t>
      </w:r>
    </w:p>
    <w:p w14:paraId="73998954" w14:textId="6A045146" w:rsidR="00E86A7E" w:rsidRDefault="00306A91" w:rsidP="0062445F">
      <w:pPr>
        <w:jc w:val="both"/>
      </w:pPr>
      <w:r w:rsidRPr="00306A91">
        <w:t>Da più parti si ritiene che il Legislatore nel disciplinare la norma volesse intendere che la suddivisione delle competenze fissata nel comma 818 riguardasse esclusivamente la componente legata alle occupazioni di suolo pubblico, sottintendendo invece che la componente pubblicitaria dovesse rimanere di esclusiva competenza comunale, così come accadeva con i precedenti prelievi. Tuttavia questa diffusa interpretazione appare non sufficientemente supportata dal dettato normativo e presenta criticità</w:t>
      </w:r>
      <w:r>
        <w:t>.</w:t>
      </w:r>
    </w:p>
    <w:p w14:paraId="42AEC8D7" w14:textId="3ABB77BD" w:rsidR="00306A91" w:rsidRDefault="00FA196D" w:rsidP="0062445F">
      <w:pPr>
        <w:jc w:val="both"/>
      </w:pPr>
      <w:r>
        <w:t>A complicare la questione si aggiunga la diversità di visione sul limite di popolazione, da una parte chi ritiene che il limite di 10mila abitanti sia riferito alla popolazione residente nel Comune, dall’altra chi ritiene che il riferimento sia da riportare alla popolazione del singolo centro abitato. Un vero rompicapo che sta trovando soluzioni diverse a seconda dei territori del nostro paese.</w:t>
      </w:r>
    </w:p>
    <w:p w14:paraId="5F66D0AD" w14:textId="77777777" w:rsidR="001E7D7B" w:rsidRDefault="001E7D7B" w:rsidP="001E7D7B">
      <w:pPr>
        <w:jc w:val="both"/>
      </w:pPr>
      <w:r>
        <w:lastRenderedPageBreak/>
        <w:t>LA TARIFFA DEL CANONE MERCATALE</w:t>
      </w:r>
    </w:p>
    <w:p w14:paraId="06605C16" w14:textId="77777777" w:rsidR="001E7D7B" w:rsidRDefault="001E7D7B" w:rsidP="001E7D7B">
      <w:pPr>
        <w:jc w:val="both"/>
      </w:pPr>
      <w:r>
        <w:t xml:space="preserve">A corredo delle numerose problematiche del Cup non potevano mancare quelle legate al Canone Mercatale, l’entrata voluta dal Legislatore relative le occupazioni realizzate all’interno dei mercati. Entrata la cui disciplina scritta dal Legislatore, </w:t>
      </w:r>
      <w:r w:rsidRPr="00426D34">
        <w:t>mina pesantemente l'autonomia e la potestà regolamentare degli enti locali</w:t>
      </w:r>
      <w:r>
        <w:t xml:space="preserve">. </w:t>
      </w:r>
    </w:p>
    <w:p w14:paraId="39B9664C" w14:textId="77777777" w:rsidR="001E7D7B" w:rsidRDefault="001E7D7B" w:rsidP="001E7D7B">
      <w:pPr>
        <w:jc w:val="both"/>
      </w:pPr>
      <w:r>
        <w:t>Mentre per il Canone Unico, conosciuto i commi 826 e 827 stabiliscono le tariffe annuali e giornaliere specificando che i singoli enti locali potranno comunque modificarle per garantire l'invarianza di gettito e permettere di mantenere inalterati gli equilibri finanziari del proprio bilancio, per il cosiddetto Canone Mercatale, i commi 841 e 842 definiscono invece le tariffe base senza prevedere la possibilità di modifica da parte degli enti beneficiari. O meglio, viene data la possibilità di incrementare le tariffe nella misura del 25%, ma contestualmente viene imposta la suddivisione oraria della tariffa, con il pasticcio della suddivisione in 24 ore o in noni, e l'applicazione obbligatoria di una riduzione, tra il 30 e il 40 per cento del dovuto, per le occupazioni che si realizzano a carattere ricorrente e con cadenza settimanale. Di fatto con questo insieme di disposizioni il Legislatore ha voluto imporre delle tariffe di mercato omogenee per classe di Comune, togliendo così alle singole amministrazioni ogni possibilità di applicare il prelievo nella misura più adeguata al proprio territorio e alle caratteristiche del mercato stesso.</w:t>
      </w:r>
    </w:p>
    <w:p w14:paraId="18965531" w14:textId="1E5C2276" w:rsidR="001E7D7B" w:rsidRDefault="001E7D7B" w:rsidP="001E7D7B">
      <w:pPr>
        <w:jc w:val="both"/>
      </w:pPr>
      <w:r>
        <w:t>La scelta poi del Legislatore di prevedere che la tariffa applicata assorba anche la quota di tassa sui rifiuti, provoca una serie di problemi irrisolvibili per i Comuni, che se da una parte saranno costretti ad applicare tariffe praticamente blindate, dall'altra si troveranno a dover coprire comunque i costi derivanti dal servizio di raccolta e smaltimento dei rifiuti prodotti nelle giornate di mercato. Costi notevoli addebitati dal gestore del servizio che alla fine peseranno inevitabilmente sulla collettività.</w:t>
      </w:r>
    </w:p>
    <w:p w14:paraId="4FA2D07F" w14:textId="16148D36" w:rsidR="009F0E8E" w:rsidRDefault="009F0E8E" w:rsidP="001E7D7B">
      <w:pPr>
        <w:jc w:val="both"/>
      </w:pPr>
      <w:r>
        <w:t xml:space="preserve">Si potrebbe andare avanti all’infinito sull’analisi delle problematiche ancora aperte, tanto che è legittimo pensare che dovremo festeggiare ancora molti compleanni prima di commentare una corretta e omogenea applicazione dei nuovi canoni patrimoniali. </w:t>
      </w:r>
    </w:p>
    <w:p w14:paraId="5A4EFBA3" w14:textId="77777777" w:rsidR="001E7D7B" w:rsidRDefault="001E7D7B" w:rsidP="001E7D7B">
      <w:pPr>
        <w:jc w:val="both"/>
      </w:pPr>
    </w:p>
    <w:p w14:paraId="231876F5" w14:textId="77777777" w:rsidR="001E7D7B" w:rsidRDefault="001E7D7B" w:rsidP="001E7D7B">
      <w:pPr>
        <w:jc w:val="both"/>
      </w:pPr>
    </w:p>
    <w:p w14:paraId="7C984734" w14:textId="77777777" w:rsidR="001E7D7B" w:rsidRDefault="001E7D7B" w:rsidP="001E7D7B">
      <w:pPr>
        <w:jc w:val="both"/>
      </w:pPr>
    </w:p>
    <w:p w14:paraId="44ED51C5" w14:textId="77777777" w:rsidR="001E7D7B" w:rsidRDefault="001E7D7B" w:rsidP="0062445F">
      <w:pPr>
        <w:jc w:val="both"/>
      </w:pPr>
    </w:p>
    <w:p w14:paraId="406872B4" w14:textId="77777777" w:rsidR="00605DA2" w:rsidRDefault="00605DA2" w:rsidP="0062445F">
      <w:pPr>
        <w:jc w:val="both"/>
      </w:pPr>
    </w:p>
    <w:p w14:paraId="6B0D76D9" w14:textId="77777777" w:rsidR="00E86A7E" w:rsidRDefault="00E86A7E" w:rsidP="0062445F">
      <w:pPr>
        <w:jc w:val="both"/>
      </w:pPr>
    </w:p>
    <w:p w14:paraId="350A4239" w14:textId="77777777" w:rsidR="00412CF7" w:rsidRDefault="00412CF7" w:rsidP="00E17A97">
      <w:pPr>
        <w:jc w:val="both"/>
      </w:pPr>
    </w:p>
    <w:sectPr w:rsidR="00412C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27"/>
    <w:rsid w:val="00192A16"/>
    <w:rsid w:val="001E7D7B"/>
    <w:rsid w:val="0023139D"/>
    <w:rsid w:val="002844BA"/>
    <w:rsid w:val="00306A91"/>
    <w:rsid w:val="00334D97"/>
    <w:rsid w:val="003E4B98"/>
    <w:rsid w:val="003E5C79"/>
    <w:rsid w:val="00412CF7"/>
    <w:rsid w:val="004B067A"/>
    <w:rsid w:val="004F25F6"/>
    <w:rsid w:val="005157D0"/>
    <w:rsid w:val="00544E3A"/>
    <w:rsid w:val="0059665E"/>
    <w:rsid w:val="00605DA2"/>
    <w:rsid w:val="0062445F"/>
    <w:rsid w:val="00674356"/>
    <w:rsid w:val="00684D17"/>
    <w:rsid w:val="006B3EED"/>
    <w:rsid w:val="007A2177"/>
    <w:rsid w:val="007C1F87"/>
    <w:rsid w:val="00820AFB"/>
    <w:rsid w:val="008C0736"/>
    <w:rsid w:val="008E584E"/>
    <w:rsid w:val="008E7168"/>
    <w:rsid w:val="008F05D4"/>
    <w:rsid w:val="00907365"/>
    <w:rsid w:val="009577EC"/>
    <w:rsid w:val="009674E1"/>
    <w:rsid w:val="009F0E8E"/>
    <w:rsid w:val="00AC5086"/>
    <w:rsid w:val="00AF1222"/>
    <w:rsid w:val="00B22DDC"/>
    <w:rsid w:val="00B40627"/>
    <w:rsid w:val="00B769F1"/>
    <w:rsid w:val="00C42B08"/>
    <w:rsid w:val="00CC59C2"/>
    <w:rsid w:val="00CD326E"/>
    <w:rsid w:val="00CF320A"/>
    <w:rsid w:val="00E17A97"/>
    <w:rsid w:val="00E235BB"/>
    <w:rsid w:val="00E5254C"/>
    <w:rsid w:val="00E86A7E"/>
    <w:rsid w:val="00FA196D"/>
    <w:rsid w:val="00FB3A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6131"/>
  <w15:chartTrackingRefBased/>
  <w15:docId w15:val="{6249964A-DA59-4176-9599-B55255CB1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782014">
      <w:bodyDiv w:val="1"/>
      <w:marLeft w:val="0"/>
      <w:marRight w:val="0"/>
      <w:marTop w:val="0"/>
      <w:marBottom w:val="0"/>
      <w:divBdr>
        <w:top w:val="none" w:sz="0" w:space="0" w:color="auto"/>
        <w:left w:val="none" w:sz="0" w:space="0" w:color="auto"/>
        <w:bottom w:val="none" w:sz="0" w:space="0" w:color="auto"/>
        <w:right w:val="none" w:sz="0" w:space="0" w:color="auto"/>
      </w:divBdr>
    </w:div>
    <w:div w:id="209481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1516</Words>
  <Characters>8646</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2022-11-21T11:09:00Z</dcterms:created>
  <dcterms:modified xsi:type="dcterms:W3CDTF">2022-11-22T10:24:00Z</dcterms:modified>
</cp:coreProperties>
</file>