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2F956" w14:textId="1344D46E" w:rsidR="006672EA" w:rsidRDefault="00E57C6C">
      <w:r>
        <w:t>Titolo: Il CUP per le aziende che producono energia elettrica da fonti rinnovabili</w:t>
      </w:r>
    </w:p>
    <w:p w14:paraId="674BA0D7" w14:textId="49031670" w:rsidR="00E57C6C" w:rsidRDefault="00E57C6C">
      <w:r>
        <w:t>Di Alessandro Merciari</w:t>
      </w:r>
    </w:p>
    <w:p w14:paraId="60532470" w14:textId="77777777" w:rsidR="00E57C6C" w:rsidRDefault="00E57C6C"/>
    <w:p w14:paraId="3A72E337" w14:textId="646283F3" w:rsidR="00E57C6C" w:rsidRDefault="00E57C6C" w:rsidP="00573D3A">
      <w:pPr>
        <w:jc w:val="both"/>
      </w:pPr>
      <w:r>
        <w:t xml:space="preserve">Nell’ambito della gestione del Canone Unico, una fattispecie sempre più diffusa è rappresentata dalle occupazioni realizzate con </w:t>
      </w:r>
      <w:r w:rsidRPr="00E57C6C">
        <w:t>cavidott</w:t>
      </w:r>
      <w:r>
        <w:t>i</w:t>
      </w:r>
      <w:r w:rsidRPr="00E57C6C">
        <w:t xml:space="preserve"> elettric</w:t>
      </w:r>
      <w:r>
        <w:t>i</w:t>
      </w:r>
      <w:r w:rsidRPr="00E57C6C">
        <w:t xml:space="preserve"> interrat</w:t>
      </w:r>
      <w:r>
        <w:t>i che trasportano l’energia prodotta da fonti rinnovabili da parte di società specializzate in questo settore.</w:t>
      </w:r>
    </w:p>
    <w:p w14:paraId="15C2B834" w14:textId="554E37C7" w:rsidR="00E57C6C" w:rsidRDefault="00E57C6C" w:rsidP="00573D3A">
      <w:pPr>
        <w:jc w:val="both"/>
      </w:pPr>
      <w:r>
        <w:t>Assistiamo sempre di più nei nostri territori alla nascita di impianti fotovoltaici di grandi dimensioni</w:t>
      </w:r>
      <w:r w:rsidR="00573D3A">
        <w:t>, e a volte anche di impianti eolici,</w:t>
      </w:r>
      <w:r>
        <w:t xml:space="preserve"> destinati a veicolare energia pulita nella rete di distruzione dell’energia elettrica. Queste infrastrutture chiaramente necessitano di cavidotti</w:t>
      </w:r>
      <w:r w:rsidR="00573D3A">
        <w:t xml:space="preserve"> e condutture interrate</w:t>
      </w:r>
      <w:r>
        <w:t xml:space="preserve"> per consentire proprio di immettere </w:t>
      </w:r>
      <w:r w:rsidR="00BD2F6F">
        <w:t>quanto prodotto</w:t>
      </w:r>
      <w:r>
        <w:t xml:space="preserve"> nella rete di distribuzione del servizio pubblico.</w:t>
      </w:r>
    </w:p>
    <w:p w14:paraId="1C0B2C8A" w14:textId="30006738" w:rsidR="00E57C6C" w:rsidRDefault="00E57C6C" w:rsidP="00573D3A">
      <w:pPr>
        <w:jc w:val="both"/>
      </w:pPr>
      <w:r>
        <w:t>L</w:t>
      </w:r>
      <w:r w:rsidR="00BD2F6F">
        <w:t>a</w:t>
      </w:r>
      <w:r>
        <w:t xml:space="preserve"> caratteristic</w:t>
      </w:r>
      <w:r w:rsidR="00BD2F6F">
        <w:t>a</w:t>
      </w:r>
      <w:r>
        <w:t xml:space="preserve"> del</w:t>
      </w:r>
      <w:r w:rsidR="0066199D">
        <w:t xml:space="preserve"> servizio </w:t>
      </w:r>
      <w:r>
        <w:t>elettric</w:t>
      </w:r>
      <w:r w:rsidR="0066199D">
        <w:t>o</w:t>
      </w:r>
      <w:r>
        <w:t xml:space="preserve"> preved</w:t>
      </w:r>
      <w:r w:rsidR="00BD2F6F">
        <w:t>e infatti</w:t>
      </w:r>
      <w:r>
        <w:t xml:space="preserve"> proprio</w:t>
      </w:r>
      <w:r w:rsidR="0066199D">
        <w:t xml:space="preserve"> il meccanismo di </w:t>
      </w:r>
      <w:r>
        <w:t>immissione dell’energia prodotta che troverà contestuale utilizzo da</w:t>
      </w:r>
      <w:r w:rsidR="00573D3A">
        <w:t xml:space="preserve"> parte delle</w:t>
      </w:r>
      <w:r>
        <w:t xml:space="preserve"> utenze collegate grazie alla </w:t>
      </w:r>
      <w:r w:rsidR="00BD2F6F">
        <w:t xml:space="preserve">capillare </w:t>
      </w:r>
      <w:r>
        <w:t xml:space="preserve">distribuzione operata dalle </w:t>
      </w:r>
      <w:r w:rsidR="00573D3A">
        <w:t xml:space="preserve">diverse </w:t>
      </w:r>
      <w:r>
        <w:t>aziende del settore.</w:t>
      </w:r>
    </w:p>
    <w:p w14:paraId="034A8FF3" w14:textId="2B104A3F" w:rsidR="00573D3A" w:rsidRDefault="00E57C6C" w:rsidP="00EA67A6">
      <w:pPr>
        <w:jc w:val="both"/>
      </w:pPr>
      <w:r>
        <w:t xml:space="preserve">Come noto </w:t>
      </w:r>
      <w:r w:rsidR="001367BC">
        <w:t>il Legislatore ha imposto</w:t>
      </w:r>
      <w:r w:rsidR="004825BE">
        <w:t xml:space="preserve"> nel </w:t>
      </w:r>
      <w:r w:rsidR="00EA67A6">
        <w:t>settore</w:t>
      </w:r>
      <w:r w:rsidR="004825BE">
        <w:t xml:space="preserve"> della </w:t>
      </w:r>
      <w:r w:rsidR="003501A9">
        <w:t>distribuzione la</w:t>
      </w:r>
      <w:r w:rsidR="001367BC">
        <w:t xml:space="preserve"> separazione delle attività, </w:t>
      </w:r>
      <w:r w:rsidR="00573D3A">
        <w:t xml:space="preserve">così </w:t>
      </w:r>
      <w:r w:rsidR="0066199D">
        <w:t>come in</w:t>
      </w:r>
      <w:r w:rsidR="001367BC">
        <w:t xml:space="preserve"> quello del gas</w:t>
      </w:r>
      <w:r w:rsidR="00573D3A">
        <w:t xml:space="preserve">, </w:t>
      </w:r>
      <w:r w:rsidR="00EA67A6">
        <w:t xml:space="preserve">tanto </w:t>
      </w:r>
      <w:r w:rsidR="00573D3A">
        <w:t xml:space="preserve">che in tema di </w:t>
      </w:r>
      <w:r w:rsidR="00EA67A6">
        <w:t xml:space="preserve">pagamento del </w:t>
      </w:r>
      <w:r w:rsidR="00573D3A">
        <w:t>Canone Unico, il soggetto passivo sarà individuato dal titolare dell’infrastruttura</w:t>
      </w:r>
      <w:r w:rsidR="00EA67A6">
        <w:t xml:space="preserve"> di distribuzione</w:t>
      </w:r>
      <w:r w:rsidR="00573D3A">
        <w:t xml:space="preserve"> </w:t>
      </w:r>
      <w:r w:rsidR="00EA67A6">
        <w:t>che</w:t>
      </w:r>
      <w:r w:rsidR="00573D3A">
        <w:t xml:space="preserve"> dovrà</w:t>
      </w:r>
      <w:r w:rsidR="00EA67A6">
        <w:t xml:space="preserve"> quindi</w:t>
      </w:r>
      <w:r w:rsidR="00573D3A">
        <w:t xml:space="preserve"> versare il canone ex comma 831 calcola</w:t>
      </w:r>
      <w:r w:rsidR="00EA67A6">
        <w:t>ndolo</w:t>
      </w:r>
      <w:r w:rsidR="00573D3A">
        <w:t xml:space="preserve"> in proporzione alle utenze attive </w:t>
      </w:r>
      <w:r w:rsidR="00EA67A6">
        <w:t xml:space="preserve">servite </w:t>
      </w:r>
      <w:r w:rsidR="00573D3A">
        <w:t>d</w:t>
      </w:r>
      <w:r w:rsidR="00EA67A6">
        <w:t>a</w:t>
      </w:r>
      <w:r w:rsidR="00573D3A">
        <w:t xml:space="preserve">lle diverse società di vendita del prodotto finale. </w:t>
      </w:r>
    </w:p>
    <w:p w14:paraId="59471C30" w14:textId="7668DAAB" w:rsidR="00573D3A" w:rsidRDefault="00573D3A" w:rsidP="005C7709">
      <w:pPr>
        <w:jc w:val="both"/>
      </w:pPr>
      <w:r>
        <w:t xml:space="preserve">Tuttavia la norma non chiarisce </w:t>
      </w:r>
      <w:r w:rsidR="005C7709">
        <w:t>il trattamento da riservare</w:t>
      </w:r>
      <w:r>
        <w:t xml:space="preserve"> </w:t>
      </w:r>
      <w:r w:rsidR="005C7709">
        <w:t>al</w:t>
      </w:r>
      <w:r>
        <w:t xml:space="preserve">le occupazioni realizzate dalle aziende che </w:t>
      </w:r>
      <w:r w:rsidR="004825BE">
        <w:t xml:space="preserve">invece la </w:t>
      </w:r>
      <w:r w:rsidRPr="00573D3A">
        <w:rPr>
          <w:u w:val="single"/>
        </w:rPr>
        <w:t>producono</w:t>
      </w:r>
      <w:r w:rsidR="003501A9" w:rsidRPr="003501A9">
        <w:t xml:space="preserve"> </w:t>
      </w:r>
      <w:r w:rsidR="004825BE" w:rsidRPr="003501A9">
        <w:t>l</w:t>
      </w:r>
      <w:r w:rsidR="004825BE">
        <w:rPr>
          <w:u w:val="single"/>
        </w:rPr>
        <w:t>’</w:t>
      </w:r>
      <w:r>
        <w:t xml:space="preserve">energia elettrica. Si è limitata </w:t>
      </w:r>
      <w:r w:rsidR="0066199D">
        <w:t xml:space="preserve">come detto </w:t>
      </w:r>
      <w:r>
        <w:t>a disciplinare</w:t>
      </w:r>
      <w:r w:rsidR="0066199D">
        <w:t xml:space="preserve"> solo</w:t>
      </w:r>
      <w:r>
        <w:t xml:space="preserve"> il pagamento relativamente alla distribuzione del servizio, senza valutare come considerare quelle </w:t>
      </w:r>
      <w:r w:rsidR="0066199D">
        <w:t xml:space="preserve">eventuali </w:t>
      </w:r>
      <w:r>
        <w:t xml:space="preserve">occupazioni realizzate dalle società che </w:t>
      </w:r>
      <w:r w:rsidR="0066199D">
        <w:t>la</w:t>
      </w:r>
      <w:r>
        <w:t xml:space="preserve"> producono. </w:t>
      </w:r>
    </w:p>
    <w:p w14:paraId="3A4EF586" w14:textId="2EB399F5" w:rsidR="0066199D" w:rsidRPr="004825BE" w:rsidRDefault="0066199D" w:rsidP="005C7709">
      <w:pPr>
        <w:jc w:val="both"/>
        <w:rPr>
          <w:u w:val="single"/>
        </w:rPr>
      </w:pPr>
      <w:r>
        <w:t>Come comportarci quindi nei confronti di questa particolare fattispecie di occupazione identificata in cavidotti interrati per l’immissione nella rete della nuova energia prodotta?</w:t>
      </w:r>
    </w:p>
    <w:p w14:paraId="6FDBEA6E" w14:textId="57B9F82F" w:rsidR="00573D3A" w:rsidRDefault="00573D3A" w:rsidP="00573D3A">
      <w:pPr>
        <w:jc w:val="both"/>
      </w:pPr>
      <w:r>
        <w:t>Per la risposta ci viene in aiuto l</w:t>
      </w:r>
      <w:r>
        <w:t>a norma di interpretazione autentica di cui all’art. 5, comma 14-quinquies, lett. b) del D. L. n. 146 del 2021</w:t>
      </w:r>
      <w:r w:rsidR="000D18DF">
        <w:t>, che</w:t>
      </w:r>
      <w:r>
        <w:t xml:space="preserve"> ha previsto che il comma 831 si interpreta nel senso che per occupazioni permanenti di suolo pubblico con impianti direttamente funzionali all'erogazione del servizio a rete devono intendersi anche quelle effettuate dalle aziende esercenti attività strumentali alla fornitura di servizi di pubblica utilità, quali la trasmissione di energia elettrica e il trasporto di gas naturale. Per tali occupazioni il canone annuo è dovuto nella misura minima di 800 euro.</w:t>
      </w:r>
      <w:r w:rsidR="005C7709">
        <w:t xml:space="preserve"> Il testo della norma recita: </w:t>
      </w:r>
      <w:r w:rsidR="005C7709" w:rsidRPr="005C7709">
        <w:rPr>
          <w:i/>
          <w:iCs/>
        </w:rPr>
        <w:t>“</w:t>
      </w:r>
      <w:r w:rsidR="005C7709" w:rsidRPr="005C7709">
        <w:rPr>
          <w:i/>
          <w:iCs/>
        </w:rPr>
        <w:t xml:space="preserve">.... per tutte le attività </w:t>
      </w:r>
      <w:bookmarkStart w:id="0" w:name="_Hlk159176546"/>
      <w:r w:rsidR="005C7709" w:rsidRPr="005C7709">
        <w:rPr>
          <w:i/>
          <w:iCs/>
        </w:rPr>
        <w:t>che esercitano attività strumentali alla fornitura di servizi di pubblica utilità</w:t>
      </w:r>
      <w:bookmarkEnd w:id="0"/>
      <w:r w:rsidR="005C7709" w:rsidRPr="005C7709">
        <w:rPr>
          <w:i/>
          <w:iCs/>
        </w:rPr>
        <w:t>, il canone unico è dovuto nella misura minima di 800 euro.”.</w:t>
      </w:r>
    </w:p>
    <w:p w14:paraId="1AAC758D" w14:textId="7DD5C859" w:rsidR="00573D3A" w:rsidRDefault="00573D3A" w:rsidP="00573D3A">
      <w:pPr>
        <w:jc w:val="both"/>
      </w:pPr>
      <w:r>
        <w:t xml:space="preserve">Secondo l’interpretazione del MEF contenuta nella risoluzione 3/DF pubblicata il 22.03.2022, </w:t>
      </w:r>
      <w:r w:rsidR="005C7709">
        <w:t>t</w:t>
      </w:r>
      <w:r>
        <w:t>ra le attività strumentali disciplinate dal comma 831 dell’art. 1 della legge n. 160 del 2019 e che beneficiano del pagamento del canone patrimoniale nella misura minima di 800 euro deve essere ricompresa anche l’attività di produzione di energia elettrica, sulla scorta delle caratteristiche di complementarietà ed esclusività della stessa nell’ambito della filiera del sistema elettrico nazionale.</w:t>
      </w:r>
    </w:p>
    <w:p w14:paraId="6DA250CE" w14:textId="77777777" w:rsidR="0066199D" w:rsidRPr="00AD6D47" w:rsidRDefault="0066199D" w:rsidP="0066199D">
      <w:pPr>
        <w:jc w:val="both"/>
        <w:rPr>
          <w:i/>
          <w:iCs/>
        </w:rPr>
      </w:pPr>
      <w:r>
        <w:t>Di questo avviso anche il Consiglio di Stato con la sentenza n. 9697/2022 nella quale si legge: “</w:t>
      </w:r>
      <w:r w:rsidRPr="0066199D">
        <w:rPr>
          <w:i/>
          <w:iCs/>
        </w:rPr>
        <w:t xml:space="preserve">all’attività svolta dalle aziende di produzione, trasmissione e dispacciamento devono essere riconosciute le caratteristiche della strumentalità rispetto a quella di distribuzione dell’energia; ed invero, come affermato nella circolare n. 1/DF del 20 gennaio 2009, che richiama la risoluzione n. 7/DPF del 14 maggio 2002, in materia di tassa per l’occupazione di spazi ed aree pubbliche (TOSAP) e il relativo canone (COSAP), sono “aziende esercenti attività strumentali all’erogazione di servizi pubblici” quelle “aziende che hanno infrastrutture che permettono ad altri soggetti di fornire il servizio, ma che, al contrario di questi ultimi, non </w:t>
      </w:r>
      <w:r w:rsidRPr="0066199D">
        <w:rPr>
          <w:i/>
          <w:iCs/>
        </w:rPr>
        <w:lastRenderedPageBreak/>
        <w:t>hanno alcun rapporto diretto con l’utente</w:t>
      </w:r>
      <w:r w:rsidRPr="0066199D">
        <w:t xml:space="preserve">”. L’attività d’impresa svolta dalle società di produzione d’energia costituisce, così, </w:t>
      </w:r>
      <w:r w:rsidRPr="00AD6D47">
        <w:rPr>
          <w:i/>
          <w:iCs/>
        </w:rPr>
        <w:t>“una fase immediatamente antecedente e necessaria rispetto alle altre citate fasi della filiera del mercato elettrico (trasmissione, dispacciamento e distribuzione), fasi connesse da connaturati vincoli inscindibili…”</w:t>
      </w:r>
    </w:p>
    <w:p w14:paraId="70A79D44" w14:textId="0702D09F" w:rsidR="0066199D" w:rsidRPr="00AD6D47" w:rsidRDefault="0066199D" w:rsidP="0066199D">
      <w:pPr>
        <w:jc w:val="both"/>
        <w:rPr>
          <w:i/>
          <w:iCs/>
        </w:rPr>
      </w:pPr>
      <w:r>
        <w:t>Nella sentenza si chiarisce come: “</w:t>
      </w:r>
      <w:r w:rsidRPr="00AD6D47">
        <w:rPr>
          <w:i/>
          <w:iCs/>
        </w:rPr>
        <w:t>gli impianti sotterranei che trasportano l’energia prodotta dagli impianti degli operatori delle energie rinnovabili verso la rete di trasmissione (e quelle di distribuzione), al pari di tutti gli impianti che veicolano l’energia al sistema elettrico nazionale, non possono che risultare “direttamente funzionali all’erogazione del servizio a rete” secondo la definizione utilizzata dal DL n. 146/2021, ricadendo, così, nel campo di applicazione del canone agevolato di 800 euro”.</w:t>
      </w:r>
    </w:p>
    <w:p w14:paraId="2FC6CADD" w14:textId="77777777" w:rsidR="00AD6D47" w:rsidRDefault="000D18DF" w:rsidP="00573D3A">
      <w:pPr>
        <w:jc w:val="both"/>
      </w:pPr>
      <w:r>
        <w:t>Ecco quindi che le società di produzione di energia elettrica da fonti rinnovabili che occupano</w:t>
      </w:r>
      <w:r w:rsidR="00AD6D47">
        <w:t xml:space="preserve"> </w:t>
      </w:r>
      <w:r w:rsidR="00AD6D47">
        <w:t>con cavidotti</w:t>
      </w:r>
      <w:r>
        <w:t xml:space="preserve"> </w:t>
      </w:r>
      <w:r w:rsidR="0066199D">
        <w:t xml:space="preserve">il </w:t>
      </w:r>
      <w:r>
        <w:t xml:space="preserve">suolo e </w:t>
      </w:r>
      <w:r w:rsidR="00AD6D47">
        <w:t xml:space="preserve">il </w:t>
      </w:r>
      <w:r>
        <w:t xml:space="preserve">sottosuolo </w:t>
      </w:r>
      <w:r w:rsidR="0066199D">
        <w:t xml:space="preserve">appartenente al demanio e al patrimonio </w:t>
      </w:r>
      <w:r w:rsidR="00AD6D47">
        <w:t xml:space="preserve">indisponibile degli Enti territoriali, </w:t>
      </w:r>
      <w:r>
        <w:t>sar</w:t>
      </w:r>
      <w:r w:rsidR="0066199D">
        <w:t>anno</w:t>
      </w:r>
      <w:r>
        <w:t xml:space="preserve"> soggett</w:t>
      </w:r>
      <w:r w:rsidR="0066199D">
        <w:t>e</w:t>
      </w:r>
      <w:r>
        <w:t xml:space="preserve"> al pagamento del canone in base alla tariffa forfettaria di 800 euro. </w:t>
      </w:r>
      <w:r w:rsidR="00AD6D47">
        <w:t xml:space="preserve">Precisando infine </w:t>
      </w:r>
      <w:r w:rsidR="005C7709">
        <w:t>che detta t</w:t>
      </w:r>
      <w:r>
        <w:t>ariffa</w:t>
      </w:r>
      <w:r w:rsidR="005C7709">
        <w:t>,</w:t>
      </w:r>
      <w:r>
        <w:t xml:space="preserve"> al pari delle altre previste al comma 831 e 831 bis</w:t>
      </w:r>
      <w:r w:rsidR="005C7709">
        <w:t>,</w:t>
      </w:r>
      <w:r>
        <w:t xml:space="preserve"> sarà soggetta alla rivalutazione Istat</w:t>
      </w:r>
      <w:r w:rsidR="00AD6D47">
        <w:t>.</w:t>
      </w:r>
    </w:p>
    <w:p w14:paraId="3AAA35C9" w14:textId="0FA8B914" w:rsidR="000D18DF" w:rsidRDefault="00AD6D47" w:rsidP="00573D3A">
      <w:pPr>
        <w:jc w:val="both"/>
      </w:pPr>
      <w:r>
        <w:t>P</w:t>
      </w:r>
      <w:r w:rsidR="005C7709">
        <w:t xml:space="preserve">er l’anno 2024 dovrà </w:t>
      </w:r>
      <w:r>
        <w:t xml:space="preserve">pertanto </w:t>
      </w:r>
      <w:r w:rsidR="005C7709">
        <w:t>essere corrispost</w:t>
      </w:r>
      <w:r>
        <w:t>o</w:t>
      </w:r>
      <w:r w:rsidR="005C7709">
        <w:t xml:space="preserve"> </w:t>
      </w:r>
      <w:r>
        <w:t xml:space="preserve">il Canone Unico  </w:t>
      </w:r>
      <w:r w:rsidR="0066199D">
        <w:t xml:space="preserve">dalle aziende </w:t>
      </w:r>
      <w:r w:rsidR="0066199D" w:rsidRPr="0066199D">
        <w:t>che esercitano attività strumentali alla fornitura di servizi di pubblica utilità</w:t>
      </w:r>
      <w:r w:rsidR="0066199D">
        <w:t>,</w:t>
      </w:r>
      <w:r w:rsidR="0066199D" w:rsidRPr="0066199D">
        <w:t xml:space="preserve"> </w:t>
      </w:r>
      <w:r w:rsidR="005C7709">
        <w:t>nella misura di Euro 930,00 (Euro 929,79</w:t>
      </w:r>
      <w:r>
        <w:t xml:space="preserve"> con</w:t>
      </w:r>
      <w:r w:rsidR="005C7709">
        <w:t xml:space="preserve"> </w:t>
      </w:r>
      <w:r w:rsidR="0066199D">
        <w:t xml:space="preserve">importo non </w:t>
      </w:r>
      <w:r w:rsidR="005C7709">
        <w:t>arrotondato)</w:t>
      </w:r>
      <w:r>
        <w:t>.</w:t>
      </w:r>
    </w:p>
    <w:p w14:paraId="3D3126A1" w14:textId="77777777" w:rsidR="000D18DF" w:rsidRDefault="000D18DF" w:rsidP="00573D3A">
      <w:pPr>
        <w:jc w:val="both"/>
      </w:pPr>
    </w:p>
    <w:p w14:paraId="59C8C69F" w14:textId="77777777" w:rsidR="00E57C6C" w:rsidRDefault="00E57C6C"/>
    <w:sectPr w:rsidR="00E57C6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5E1"/>
    <w:rsid w:val="000D18DF"/>
    <w:rsid w:val="001367BC"/>
    <w:rsid w:val="003501A9"/>
    <w:rsid w:val="004825BE"/>
    <w:rsid w:val="00573D3A"/>
    <w:rsid w:val="005C7709"/>
    <w:rsid w:val="0066199D"/>
    <w:rsid w:val="006672EA"/>
    <w:rsid w:val="007355E1"/>
    <w:rsid w:val="00AD6D47"/>
    <w:rsid w:val="00BD2F6F"/>
    <w:rsid w:val="00E57C6C"/>
    <w:rsid w:val="00EA67A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6CEC"/>
  <w15:chartTrackingRefBased/>
  <w15:docId w15:val="{EA64AF99-B891-476B-A9DB-B1ACA7652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834</Words>
  <Characters>4756</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8</cp:revision>
  <dcterms:created xsi:type="dcterms:W3CDTF">2024-02-18T17:15:00Z</dcterms:created>
  <dcterms:modified xsi:type="dcterms:W3CDTF">2024-02-18T18:30:00Z</dcterms:modified>
</cp:coreProperties>
</file>