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A328B" w14:textId="7FC3694D" w:rsidR="003A6B70" w:rsidRDefault="000C1DD4">
      <w:r>
        <w:t>Titolo: il ravvedimento operoso nel Canone Unico</w:t>
      </w:r>
    </w:p>
    <w:p w14:paraId="0149FBAC" w14:textId="7386EEED" w:rsidR="000C1DD4" w:rsidRDefault="000C1DD4" w:rsidP="0004357B">
      <w:pPr>
        <w:jc w:val="both"/>
      </w:pPr>
      <w:r>
        <w:t xml:space="preserve">L’entrata introdotta con il comma 816 della Legge 160/2019 ha, per stessa definizione del Legislatore, natura patrimoniale. In precedenti approfondimenti abbiamo visto come in realtà, al di </w:t>
      </w:r>
      <w:r w:rsidR="0004357B">
        <w:t>là</w:t>
      </w:r>
      <w:r>
        <w:t xml:space="preserve"> del nomen juris, la componente pubblicitaria abbia di fatto caratteristiche più legate ai prelievi tributari, </w:t>
      </w:r>
      <w:r w:rsidR="0004357B">
        <w:t>tuttavia</w:t>
      </w:r>
      <w:r>
        <w:t xml:space="preserve">, l’infrastruttura su cui si basa la nuova entrata è </w:t>
      </w:r>
      <w:r w:rsidR="0004357B">
        <w:t>fondata</w:t>
      </w:r>
      <w:r>
        <w:t xml:space="preserve"> sulla disciplina delle entrate patrimoniali, e in questo senso dobbiamo al momento ragionare.</w:t>
      </w:r>
    </w:p>
    <w:p w14:paraId="5DBAB5C4" w14:textId="1C2430DB" w:rsidR="00056993" w:rsidRDefault="000C1DD4" w:rsidP="0004357B">
      <w:pPr>
        <w:jc w:val="both"/>
      </w:pPr>
      <w:r>
        <w:t xml:space="preserve">Uno degli ambiti </w:t>
      </w:r>
      <w:r w:rsidR="0004357B">
        <w:t xml:space="preserve">maggiormente </w:t>
      </w:r>
      <w:r>
        <w:t xml:space="preserve">condizionato dalla natura dell’entrata è quella del versamento del canone. </w:t>
      </w:r>
    </w:p>
    <w:p w14:paraId="76896BEE" w14:textId="6172E315" w:rsidR="000C1DD4" w:rsidRDefault="00056993" w:rsidP="0004357B">
      <w:pPr>
        <w:jc w:val="both"/>
      </w:pPr>
      <w:r>
        <w:t xml:space="preserve">Sul tema del pagamento del canone, la </w:t>
      </w:r>
      <w:r w:rsidR="0004357B">
        <w:t>normativa</w:t>
      </w:r>
      <w:r>
        <w:t xml:space="preserve"> risulta ancora una volta carente e incompleta. </w:t>
      </w:r>
      <w:r w:rsidR="000C1DD4">
        <w:t xml:space="preserve">La </w:t>
      </w:r>
      <w:r w:rsidR="0004357B">
        <w:t>Legge 160/2019</w:t>
      </w:r>
      <w:r w:rsidR="000C1DD4">
        <w:t xml:space="preserve"> </w:t>
      </w:r>
      <w:r>
        <w:t>si limita a stabilire a</w:t>
      </w:r>
      <w:r w:rsidR="000C1DD4">
        <w:t xml:space="preserve">l comma 835 che </w:t>
      </w:r>
      <w:r>
        <w:t>“</w:t>
      </w:r>
      <w:r w:rsidR="000C1DD4">
        <w:t xml:space="preserve">il versamento </w:t>
      </w:r>
      <w:r>
        <w:t>del canone è effettuato, direttamente agli enti, contestualmente al rilascio della concessione o dell’autorizzazione all’occupazione o alla diffusione dei messaggi pubblicitari…”, dimenticando che per le occupazioni di suolo pubblico e per le esposizioni pubblicitarie aventi natura stabile e durata pluriennale si deve procedere al pagamento del canone con tariffa ad anno solare</w:t>
      </w:r>
      <w:r w:rsidR="00F8244E">
        <w:t xml:space="preserve">, per tutti gli anni interessati dalla durata dell’atto amministrativo e </w:t>
      </w:r>
      <w:r w:rsidR="0004357B">
        <w:t>non solo in quello di rilascio</w:t>
      </w:r>
      <w:r w:rsidR="00F8244E">
        <w:t>.</w:t>
      </w:r>
    </w:p>
    <w:p w14:paraId="64883B47" w14:textId="673C1F57" w:rsidR="00F8244E" w:rsidRDefault="00F8244E" w:rsidP="005672CD">
      <w:pPr>
        <w:jc w:val="both"/>
      </w:pPr>
      <w:r>
        <w:t xml:space="preserve">Ancora una volta saranno i regolamenti adottati dagli enti territoriali a dover prevedere le modalità e le scadenze di pagamento a cui i soggetti interessati dovranno riferirsi per effettuare i pagamenti delle proprie occupazioni ed esposizioni permanenti dopo il primo anno. </w:t>
      </w:r>
    </w:p>
    <w:p w14:paraId="42FDFFB0" w14:textId="4977C3E0" w:rsidR="00F8244E" w:rsidRDefault="00F8244E" w:rsidP="005672CD">
      <w:pPr>
        <w:jc w:val="both"/>
      </w:pPr>
      <w:r>
        <w:t>Ecco pertanto che in sede di disciplina locale dovrà essere fissata una scadenza entro la quale versare il canone. Alcuni enti sceglieranno gennaio, altri marzo, altri</w:t>
      </w:r>
      <w:r w:rsidR="00C24723">
        <w:t>,</w:t>
      </w:r>
      <w:r>
        <w:t xml:space="preserve"> mesi diversi</w:t>
      </w:r>
      <w:r w:rsidR="00C24723">
        <w:t>, tutti</w:t>
      </w:r>
      <w:r>
        <w:t xml:space="preserve"> con possibilità di frazionamento del canone in rate al raggiungimento di </w:t>
      </w:r>
      <w:r w:rsidR="00C24723">
        <w:t xml:space="preserve">determinate </w:t>
      </w:r>
      <w:r>
        <w:t xml:space="preserve">soglie di importo. Una variegata </w:t>
      </w:r>
      <w:r w:rsidR="00C24723">
        <w:t>g</w:t>
      </w:r>
      <w:r>
        <w:t xml:space="preserve">iungla di scadenze e regole che </w:t>
      </w:r>
      <w:r w:rsidR="00C24723">
        <w:t>r</w:t>
      </w:r>
      <w:r>
        <w:t xml:space="preserve">endono </w:t>
      </w:r>
      <w:r w:rsidR="005672CD">
        <w:t>impossibile</w:t>
      </w:r>
      <w:r>
        <w:t xml:space="preserve"> </w:t>
      </w:r>
      <w:r w:rsidR="00C24723">
        <w:t>la vita a</w:t>
      </w:r>
      <w:r>
        <w:t xml:space="preserve">gli operatori del settore che vedono le proprie iniziative </w:t>
      </w:r>
      <w:r w:rsidR="005672CD">
        <w:t xml:space="preserve">pubblicitarie </w:t>
      </w:r>
      <w:r>
        <w:t xml:space="preserve">distribuite su più comuni. Pensiamo alle società che commercializzano spazi pubblicitari, ditte che spesso hanno una rete di impianti che attraversa il </w:t>
      </w:r>
      <w:r w:rsidR="005672CD">
        <w:t>P</w:t>
      </w:r>
      <w:r>
        <w:t xml:space="preserve">aese, interessando centinaia di Comuni, ognuno dei quali </w:t>
      </w:r>
      <w:r w:rsidR="00C24723">
        <w:t>fisserà</w:t>
      </w:r>
      <w:r>
        <w:t xml:space="preserve"> criteri e scadenze di pagamento diverse, </w:t>
      </w:r>
      <w:r w:rsidR="005672CD">
        <w:t>chiamati</w:t>
      </w:r>
      <w:r>
        <w:t xml:space="preserve"> a colmare l’ennesima mancanza di una </w:t>
      </w:r>
      <w:r w:rsidR="00C24723">
        <w:t>disciplina</w:t>
      </w:r>
      <w:r>
        <w:t xml:space="preserve"> nazionale.  </w:t>
      </w:r>
    </w:p>
    <w:p w14:paraId="701523BC" w14:textId="43B10D91" w:rsidR="00C24723" w:rsidRDefault="00C24723" w:rsidP="00056993">
      <w:r>
        <w:t>La previsione di una data di scadenza del pagamento del canone inserita in un articolo di Regolamento, rappresenterà un vincolo a cui fare riferimento per i titolari di concessioni e autorizzazioni. Ma cosa succede se non viene rispettata questa scadenza? Quali sanzioni potranno essere applicate a chi viola la disposizione regolamentare? Quale possibilità viene data al titolare della posizione per porre rimedio alla dimenticanza? Vige l’obbligo da parte dei soggetti attivi di liquidare e inviare le richieste di pagamento ai diversi soggetti in</w:t>
      </w:r>
      <w:r w:rsidR="004B5F45">
        <w:t>t</w:t>
      </w:r>
      <w:r>
        <w:t xml:space="preserve">eressati da concessioni </w:t>
      </w:r>
      <w:r w:rsidR="005672CD">
        <w:t xml:space="preserve">e autorizzazioni </w:t>
      </w:r>
      <w:r>
        <w:t>pluriennali? È necessaria una messa in mora per poter poi irrogare una sanzione per omesso o tardivo versamento? E’ ammesso il ravvedimento operoso?</w:t>
      </w:r>
    </w:p>
    <w:p w14:paraId="3E5243A6" w14:textId="1EF65E95" w:rsidR="00C24723" w:rsidRDefault="00C24723" w:rsidP="00056993">
      <w:r>
        <w:t>Questi alcuni degli interrogativi che dobbiamo porci nell’analizzare la disciplina del CUP relativamente alle regole dei versamenti</w:t>
      </w:r>
      <w:r w:rsidR="005672CD">
        <w:t xml:space="preserve">, ricordando che siamo di fronte ad una entrata a cui non possono essere </w:t>
      </w:r>
      <w:r w:rsidR="000A48F0">
        <w:t xml:space="preserve">automaticamente </w:t>
      </w:r>
      <w:r w:rsidR="005672CD">
        <w:t>applicate le regole tributarie</w:t>
      </w:r>
      <w:r>
        <w:t>.</w:t>
      </w:r>
    </w:p>
    <w:p w14:paraId="348AEC14" w14:textId="0B116138" w:rsidR="003D48B3" w:rsidRDefault="003D48B3" w:rsidP="00194884">
      <w:pPr>
        <w:jc w:val="both"/>
      </w:pPr>
      <w:r>
        <w:t>In uno schema generico di regolamento possiamo leggere: “</w:t>
      </w:r>
      <w:r w:rsidRPr="003D48B3">
        <w:t xml:space="preserve">.  </w:t>
      </w:r>
      <w:r w:rsidRPr="00194884">
        <w:rPr>
          <w:i/>
          <w:iCs/>
        </w:rPr>
        <w:t>Per le occupazioni e per le esposizioni pubblicitarie permanenti,  il pagamento del canone relativo al primo anno di autorizzazione deve essere effettuato, di norma, in un'unica soluzione, contestualmente al rilascio della concessione/autorizzazione;  per gli anni successivi il canone va corrisposto entro il ________; per importi superiori a Euro ____ è ammessa la possibilità del versamento in quattro rate, la prima delle quali da corrispondere contestualmente al rilascio della concessione, le restanti tre rate scadenti il ________________, sempreché la scadenza della concessione sia successiva ai predetti termini.</w:t>
      </w:r>
    </w:p>
    <w:p w14:paraId="36453B1D" w14:textId="78E80424" w:rsidR="00194884" w:rsidRPr="00194884" w:rsidRDefault="00194884" w:rsidP="00194884">
      <w:pPr>
        <w:jc w:val="both"/>
        <w:rPr>
          <w:i/>
          <w:iCs/>
        </w:rPr>
      </w:pPr>
      <w:r>
        <w:t>Possiamo altresì trovare</w:t>
      </w:r>
      <w:r w:rsidRPr="00194884">
        <w:rPr>
          <w:i/>
          <w:iCs/>
        </w:rPr>
        <w:t xml:space="preserve">: “Il Comune o il Concessionario provvede di norma ad inviare annualmente un prospetto di liquidazione con il dettaglio degli importi dovuti e delle relative scadenze. Resta comunque l’obbligo in capo al soggetto passivo di provvedere al pagamento del canone dovuto alle prescritte scadenze, </w:t>
      </w:r>
      <w:r w:rsidRPr="00194884">
        <w:rPr>
          <w:i/>
          <w:iCs/>
        </w:rPr>
        <w:lastRenderedPageBreak/>
        <w:t>pertanto, qualora il soggetto passivo non riceva il prospetto di liquidazione in tempo utile per provvedere al versamento della prima rata, dovrà premurarsi di contattare il Comune o il Concessionario per farsi rilasciare copia dello stesso</w:t>
      </w:r>
      <w:r>
        <w:rPr>
          <w:i/>
          <w:iCs/>
        </w:rPr>
        <w:t>”</w:t>
      </w:r>
      <w:r w:rsidRPr="00194884">
        <w:rPr>
          <w:i/>
          <w:iCs/>
        </w:rPr>
        <w:t>.</w:t>
      </w:r>
    </w:p>
    <w:p w14:paraId="0EEC77E2" w14:textId="21F7D227" w:rsidR="00D604FE" w:rsidRDefault="00D604FE" w:rsidP="000A48F0">
      <w:pPr>
        <w:jc w:val="both"/>
      </w:pPr>
      <w:r>
        <w:t xml:space="preserve">Il sistema sanzionatorio del Canone Unico </w:t>
      </w:r>
      <w:r w:rsidR="000A48F0">
        <w:t xml:space="preserve">come noto </w:t>
      </w:r>
      <w:r>
        <w:t>è disciplinato al comma 821 lettera H, dove si stabilisc</w:t>
      </w:r>
      <w:r w:rsidR="005C2DE6">
        <w:t xml:space="preserve">e </w:t>
      </w:r>
      <w:r>
        <w:t xml:space="preserve">l’applicazione di </w:t>
      </w:r>
      <w:r w:rsidR="005C2DE6">
        <w:t>“</w:t>
      </w:r>
      <w:r w:rsidRPr="00194884">
        <w:rPr>
          <w:i/>
          <w:iCs/>
        </w:rPr>
        <w:t>sanzioni amministrative pecuniarie di importo non inferiore all’ammontare del canone o dell’indennità di cui alla lettera g) del presente comma, né superiore al doppio dello stesso</w:t>
      </w:r>
      <w:r w:rsidR="005C2DE6">
        <w:t>…”.</w:t>
      </w:r>
    </w:p>
    <w:p w14:paraId="312E85D3" w14:textId="78DCB724" w:rsidR="005C2DE6" w:rsidRDefault="005C2DE6" w:rsidP="000A48F0">
      <w:pPr>
        <w:jc w:val="both"/>
      </w:pPr>
      <w:r>
        <w:t>Il legislatore non specifica l’ambito di applicazione, prevedendo</w:t>
      </w:r>
      <w:r w:rsidR="00194884">
        <w:t xml:space="preserve"> solo</w:t>
      </w:r>
      <w:r>
        <w:t xml:space="preserve"> l’irrogazione della sanzione rapportata al canone </w:t>
      </w:r>
      <w:r w:rsidR="00194884">
        <w:t>(</w:t>
      </w:r>
      <w:r>
        <w:t xml:space="preserve">quindi </w:t>
      </w:r>
      <w:r w:rsidR="00194884">
        <w:t>al</w:t>
      </w:r>
      <w:r>
        <w:t>le occupazioni ed esposizioni pubblicitarie regolarmente autorizzate</w:t>
      </w:r>
      <w:r w:rsidR="00194884">
        <w:t>)</w:t>
      </w:r>
      <w:r>
        <w:t xml:space="preserve"> </w:t>
      </w:r>
      <w:r w:rsidR="00194884">
        <w:t>o</w:t>
      </w:r>
      <w:r>
        <w:t xml:space="preserve"> rapportat</w:t>
      </w:r>
      <w:r w:rsidR="00194884">
        <w:t>a</w:t>
      </w:r>
      <w:r>
        <w:t xml:space="preserve"> all’indennità</w:t>
      </w:r>
      <w:r w:rsidR="00194884">
        <w:t xml:space="preserve"> (</w:t>
      </w:r>
      <w:r>
        <w:t xml:space="preserve">quindi </w:t>
      </w:r>
      <w:r w:rsidR="00194884">
        <w:t>al</w:t>
      </w:r>
      <w:r>
        <w:t>le occupazioni ed esposizioni senza titolo</w:t>
      </w:r>
      <w:r w:rsidR="00194884">
        <w:t>)</w:t>
      </w:r>
      <w:r>
        <w:t>.</w:t>
      </w:r>
    </w:p>
    <w:p w14:paraId="0A83AB38" w14:textId="0135774D" w:rsidR="00C24723" w:rsidRDefault="005C2DE6" w:rsidP="000A48F0">
      <w:pPr>
        <w:jc w:val="both"/>
      </w:pPr>
      <w:r>
        <w:t xml:space="preserve">Nulla si specifica per le violazioni legate al mancato o al tardivo versamento, così che alcuni Comuni hanno ritenuto di applicare la stessa sanzione di chi alla lettera H del comma 821, definendola </w:t>
      </w:r>
      <w:r w:rsidR="00194884">
        <w:t xml:space="preserve">tuttavia </w:t>
      </w:r>
      <w:r>
        <w:t xml:space="preserve">in misura percentuale inferiore, </w:t>
      </w:r>
      <w:r w:rsidR="00194884" w:rsidRPr="00194884">
        <w:t>in  ossequio al principio generale sancito dall’art. 50, della legge n. 449 del 1997</w:t>
      </w:r>
      <w:r w:rsidR="00194884">
        <w:t>.</w:t>
      </w:r>
    </w:p>
    <w:p w14:paraId="3F0C59C1" w14:textId="7D22E650" w:rsidR="00194884" w:rsidRDefault="00194884" w:rsidP="000A48F0">
      <w:pPr>
        <w:jc w:val="both"/>
      </w:pPr>
      <w:r>
        <w:t xml:space="preserve">Altre amministrazioni locali invece hanno fatto riferimento alle sanzioni amministrative generali regolate </w:t>
      </w:r>
      <w:r w:rsidRPr="002C473B">
        <w:t>all’articolo 7 bis del D. lgs. 267/2000</w:t>
      </w:r>
      <w:r>
        <w:t>.</w:t>
      </w:r>
    </w:p>
    <w:p w14:paraId="488E4E9F" w14:textId="1CBA8599" w:rsidR="00194884" w:rsidRDefault="000A48F0" w:rsidP="000A48F0">
      <w:pPr>
        <w:jc w:val="both"/>
      </w:pPr>
      <w:r>
        <w:t xml:space="preserve">In questo contesto variegato, </w:t>
      </w:r>
      <w:r w:rsidR="00194884">
        <w:t>molte amministrazioni hanno voluto, a margine del</w:t>
      </w:r>
      <w:r w:rsidR="00F942AC">
        <w:t xml:space="preserve"> sistema sanzionatorio, </w:t>
      </w:r>
      <w:r w:rsidR="00BA359B">
        <w:t xml:space="preserve">disciplinare </w:t>
      </w:r>
      <w:r w:rsidR="00F942AC">
        <w:t>anche l’istituto del ravvedimento operoso</w:t>
      </w:r>
      <w:r w:rsidR="00BA359B">
        <w:t>, introducendo così la possibilità per i soggetti passivi del canone di regolarizzare i propri obblighi anche successivamente alle scadenze deliberate.</w:t>
      </w:r>
      <w:r w:rsidR="00F942AC">
        <w:t xml:space="preserve"> </w:t>
      </w:r>
    </w:p>
    <w:p w14:paraId="3B7DBC45" w14:textId="58CD79CB" w:rsidR="00F942AC" w:rsidRDefault="00F942AC" w:rsidP="00BA359B">
      <w:pPr>
        <w:jc w:val="both"/>
      </w:pPr>
      <w:r>
        <w:t xml:space="preserve">Il ravvedimento operoso, vige di regola in ambito di entrate tributarie e per queste non è legato alla </w:t>
      </w:r>
      <w:r w:rsidR="00BA359B">
        <w:t>disciplina</w:t>
      </w:r>
      <w:r>
        <w:t xml:space="preserve"> del singolo ente. In materia di entrate patrimoniali tuttavia, non trovando norma di legge che lo preveda, sarà necessario, per permetterne l’uso, inserirlo nel regolamento</w:t>
      </w:r>
      <w:r w:rsidR="00BA359B">
        <w:t xml:space="preserve"> dell’ente</w:t>
      </w:r>
      <w:r>
        <w:t xml:space="preserve">, riprendendo ad esempio le stesse percentuali e tempistiche di versamento </w:t>
      </w:r>
      <w:r w:rsidR="00BA359B">
        <w:t xml:space="preserve">utilizzate </w:t>
      </w:r>
      <w:r>
        <w:t>per consentire ai soggetti debitori</w:t>
      </w:r>
      <w:r w:rsidR="00BA359B">
        <w:t xml:space="preserve"> del</w:t>
      </w:r>
      <w:r>
        <w:t>le diverse entrate tributarie</w:t>
      </w:r>
      <w:r w:rsidR="00BA359B">
        <w:t>,</w:t>
      </w:r>
      <w:r>
        <w:t xml:space="preserve"> IMU e TARI ad esempio, di versare e regolarizzare la propria posizione oltre la scadenza prevista per il versamento, e prima che l’ente abbia avviato l’attività di accertamento per il recupero del canone non versato.</w:t>
      </w:r>
    </w:p>
    <w:p w14:paraId="48A01942" w14:textId="78F700C5" w:rsidR="00F942AC" w:rsidRPr="00F942AC" w:rsidRDefault="00F942AC" w:rsidP="00F942AC">
      <w:pPr>
        <w:jc w:val="both"/>
        <w:rPr>
          <w:i/>
          <w:iCs/>
        </w:rPr>
      </w:pPr>
      <w:r>
        <w:t xml:space="preserve">Ecco quindi come può trovare la sua disciplina: “ </w:t>
      </w:r>
      <w:r w:rsidRPr="00F942AC">
        <w:rPr>
          <w:i/>
          <w:iCs/>
        </w:rPr>
        <w:t>In caso di omesso o parziale versamento entro le scadenze definite dal presente regolamento il soggetto passivo del canone può regolarizzare la propria posizione versando l’importo dovuto maggiorato di una sanzione ridotta fissata in ossequio al principio generale sancito dall’art. 50 della legge n. 449 del 1997. In caso di ritardo entro 14 giorni dalla scadenza si calcola  una sanzione dello 0,1% giornaliero del valore del canone  più interessi giornalieri calcolati sul tasso di riferimento annuale. In caso di ritardo tra il 15° e il  30° giorno dalla scadenza, si calcola  una sanzione fissa del 1,5% dell'importo da versare più gli interessi giornalieri calcolati sul tasso di riferimento annuale. In caso di ritardo oltre  il 30° giorno e fino al 90° giorno, si calcola  una sanzione fissa del 1,67% dell'importo da versare più gli interessi giornalieri calcolati sul tasso di riferimento annuale. In caso di ritardo oltre il 90° giorno di ritardo, ma comunque entro l'anno in cui è stata commessa la violazione, si calcola  una sanzione fissa del 3,75% dell'importo da versare più gli interessi giornalieri calcolati sul tasso di riferimento annuale. In caso di ritardo oltre l'anno dopo la scadenza, si calcola una sanzione pari al 4,29% e dopo due anni una sanzione del 5%. Costituisce causa ostativa del ravvedimento l’inizio di una qualsiasi attività di accertamento o verifica da parte del Comune o del Concessionario, di cui l’interessato o gli obbligati in solido abbiano ricevuto notificazione.”</w:t>
      </w:r>
    </w:p>
    <w:p w14:paraId="18E05F39" w14:textId="44922CFA" w:rsidR="00F942AC" w:rsidRDefault="00BA359B" w:rsidP="00BA359B">
      <w:pPr>
        <w:jc w:val="both"/>
      </w:pPr>
      <w:r>
        <w:t>In definitiva, l</w:t>
      </w:r>
      <w:r w:rsidR="00F942AC">
        <w:t xml:space="preserve">a regolamentazione dei versamenti in materia di Canone Unico deve necessariamente trovare disciplina nel Regolamento adottato dagli enti territoriali individuati dalla Legge come soggetti attivi. </w:t>
      </w:r>
      <w:r w:rsidR="00F5426E">
        <w:t>La normativa ha</w:t>
      </w:r>
      <w:r>
        <w:t xml:space="preserve"> in questo senso </w:t>
      </w:r>
      <w:r w:rsidR="00F5426E">
        <w:t xml:space="preserve"> ancora una volta evidenziato i propri limiti applicativi, andando a dettare regole che non possono trovare applicazione </w:t>
      </w:r>
      <w:r>
        <w:t>in</w:t>
      </w:r>
      <w:r w:rsidR="00F5426E">
        <w:t xml:space="preserve"> tutte le casistiche </w:t>
      </w:r>
      <w:r>
        <w:t>in</w:t>
      </w:r>
      <w:r w:rsidR="00F5426E">
        <w:t xml:space="preserve"> cui gli uffici entrate degli enti territoriali si </w:t>
      </w:r>
      <w:r>
        <w:t>imbatteranno nella gestione dell’entrata.</w:t>
      </w:r>
    </w:p>
    <w:sectPr w:rsidR="00F942A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78B"/>
    <w:rsid w:val="0004357B"/>
    <w:rsid w:val="00056993"/>
    <w:rsid w:val="000A48F0"/>
    <w:rsid w:val="000C1DD4"/>
    <w:rsid w:val="00194884"/>
    <w:rsid w:val="002D280C"/>
    <w:rsid w:val="003A6B70"/>
    <w:rsid w:val="003D48B3"/>
    <w:rsid w:val="004B5F45"/>
    <w:rsid w:val="0051078B"/>
    <w:rsid w:val="005672CD"/>
    <w:rsid w:val="005C2DE6"/>
    <w:rsid w:val="00BA359B"/>
    <w:rsid w:val="00C24723"/>
    <w:rsid w:val="00D604FE"/>
    <w:rsid w:val="00F5426E"/>
    <w:rsid w:val="00F8244E"/>
    <w:rsid w:val="00F942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4A95D"/>
  <w15:chartTrackingRefBased/>
  <w15:docId w15:val="{5A2218E4-1903-4E96-BD81-FBF10F54A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1291</Words>
  <Characters>7362</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alessandro merciari</cp:lastModifiedBy>
  <cp:revision>8</cp:revision>
  <dcterms:created xsi:type="dcterms:W3CDTF">2023-05-01T12:30:00Z</dcterms:created>
  <dcterms:modified xsi:type="dcterms:W3CDTF">2023-05-02T15:29:00Z</dcterms:modified>
</cp:coreProperties>
</file>