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63520" w14:textId="49D9440E" w:rsidR="000D1D10" w:rsidRPr="000B4830" w:rsidRDefault="000D1D10">
      <w:r w:rsidRPr="000B4830">
        <w:t xml:space="preserve">Titolo: </w:t>
      </w:r>
      <w:r w:rsidR="008523BF">
        <w:t>Il ruolo del Pubblico Ufficiale nel</w:t>
      </w:r>
      <w:r w:rsidR="00F248F0">
        <w:t xml:space="preserve">la disciplina del </w:t>
      </w:r>
      <w:r w:rsidR="008523BF">
        <w:t xml:space="preserve"> CUP</w:t>
      </w:r>
      <w:r w:rsidR="001279BA" w:rsidRPr="000B4830">
        <w:t xml:space="preserve"> </w:t>
      </w:r>
    </w:p>
    <w:p w14:paraId="1D8584B9" w14:textId="273B2469" w:rsidR="008523BF" w:rsidRDefault="00A41F97" w:rsidP="00816CED">
      <w:pPr>
        <w:jc w:val="both"/>
      </w:pPr>
      <w:r w:rsidRPr="000B4830">
        <w:t>Nell’ambito della disciplina del Canone Unico Patrimoniale un</w:t>
      </w:r>
      <w:r w:rsidR="008523BF">
        <w:t xml:space="preserve">a delle novità più </w:t>
      </w:r>
      <w:r w:rsidR="005F1E3F">
        <w:t>interessanti</w:t>
      </w:r>
      <w:r w:rsidR="008523BF">
        <w:t xml:space="preserve"> è rappresentata dal ruolo assegnato alla figura del Pubblico Ufficiale per quanto riguarda l’attività legata alla vigilanza sul territorio.</w:t>
      </w:r>
    </w:p>
    <w:p w14:paraId="307D28DE" w14:textId="457166A2" w:rsidR="008523BF" w:rsidRDefault="008523BF" w:rsidP="008523BF">
      <w:pPr>
        <w:jc w:val="both"/>
      </w:pPr>
      <w:r>
        <w:t>I passaggi normativi</w:t>
      </w:r>
      <w:r w:rsidR="00A41F97" w:rsidRPr="000B4830">
        <w:t xml:space="preserve"> che </w:t>
      </w:r>
      <w:r>
        <w:t>richiamano questa figura sono contenuti nel</w:t>
      </w:r>
      <w:r w:rsidR="005F1E3F">
        <w:t>la lettera G del</w:t>
      </w:r>
      <w:r>
        <w:t xml:space="preserve"> comma 821 e </w:t>
      </w:r>
      <w:r w:rsidR="005F1E3F">
        <w:t xml:space="preserve">nel comma </w:t>
      </w:r>
      <w:r>
        <w:t>822 della Legge 160/2019</w:t>
      </w:r>
      <w:r w:rsidR="005F1E3F">
        <w:t xml:space="preserve">, entrambi dedicati </w:t>
      </w:r>
      <w:r w:rsidR="005F1E3F" w:rsidRPr="000B4830">
        <w:t>alla disciplina delle occupazioni ed esposizioni abusive, realizzate senza titolo</w:t>
      </w:r>
      <w:r w:rsidR="005F1E3F">
        <w:t xml:space="preserve"> o in modo difforme rispetto alla concessione o all’autorizzazione</w:t>
      </w:r>
      <w:r w:rsidR="0014050E">
        <w:t xml:space="preserve"> rilasciata</w:t>
      </w:r>
      <w:r w:rsidR="005F1E3F">
        <w:t>.</w:t>
      </w:r>
    </w:p>
    <w:p w14:paraId="05381EDF" w14:textId="73847700" w:rsidR="004251FD" w:rsidRPr="008523BF" w:rsidRDefault="005F1E3F" w:rsidP="008523BF">
      <w:pPr>
        <w:jc w:val="both"/>
        <w:rPr>
          <w:i/>
          <w:iCs/>
          <w:u w:val="single"/>
        </w:rPr>
      </w:pPr>
      <w:r>
        <w:t>La</w:t>
      </w:r>
      <w:r w:rsidR="008523BF">
        <w:t xml:space="preserve"> lettera </w:t>
      </w:r>
      <w:r>
        <w:t>G</w:t>
      </w:r>
      <w:r w:rsidR="008523BF">
        <w:t xml:space="preserve"> del comma 821 </w:t>
      </w:r>
      <w:r>
        <w:t>è</w:t>
      </w:r>
      <w:r w:rsidR="004B25F9" w:rsidRPr="000B4830">
        <w:t xml:space="preserve"> </w:t>
      </w:r>
      <w:r w:rsidR="00816CED" w:rsidRPr="000B4830">
        <w:t>dedicat</w:t>
      </w:r>
      <w:r>
        <w:t>a al</w:t>
      </w:r>
      <w:r w:rsidR="004B25F9" w:rsidRPr="000B4830">
        <w:t>l</w:t>
      </w:r>
      <w:r>
        <w:t>a disciplina</w:t>
      </w:r>
      <w:r w:rsidR="004B25F9" w:rsidRPr="000B4830">
        <w:t xml:space="preserve"> dell’indennità e </w:t>
      </w:r>
      <w:r>
        <w:t>a</w:t>
      </w:r>
      <w:r w:rsidR="004B25F9" w:rsidRPr="000B4830">
        <w:t xml:space="preserve">l criterio del suo calcolo </w:t>
      </w:r>
      <w:r>
        <w:t xml:space="preserve">che varia </w:t>
      </w:r>
      <w:r w:rsidR="004B25F9" w:rsidRPr="000B4830">
        <w:t>a seconda della natura dell’abuso accertato</w:t>
      </w:r>
      <w:r>
        <w:t>. Nel comma, viene previsto che</w:t>
      </w:r>
      <w:r w:rsidR="008523BF">
        <w:t xml:space="preserve"> per accertare l’abuso </w:t>
      </w:r>
      <w:r>
        <w:t xml:space="preserve">vi è </w:t>
      </w:r>
      <w:r w:rsidR="008523BF">
        <w:t>la necessità di compilare un formale verbale di accertamento redatto da pubblico ufficiale.</w:t>
      </w:r>
      <w:r w:rsidR="00816CED" w:rsidRPr="000B4830">
        <w:t xml:space="preserve"> </w:t>
      </w:r>
      <w:r w:rsidR="00816CED" w:rsidRPr="000B4830">
        <w:rPr>
          <w:i/>
          <w:iCs/>
        </w:rPr>
        <w:t>“</w:t>
      </w:r>
      <w:r w:rsidR="00816CED" w:rsidRPr="000B4830">
        <w:rPr>
          <w:rFonts w:ascii="AsterStcc-Corsivo" w:hAnsi="AsterStcc-Corsivo" w:cs="AsterStcc-Corsivo"/>
          <w:i/>
          <w:iCs/>
        </w:rPr>
        <w:t xml:space="preserve">g) </w:t>
      </w:r>
      <w:r w:rsidR="00816CED" w:rsidRPr="000B4830">
        <w:rPr>
          <w:rFonts w:ascii="AsterStcc-Tondo" w:hAnsi="AsterStcc-Tondo" w:cs="AsterStcc-Tondo"/>
          <w:i/>
          <w:iCs/>
        </w:rPr>
        <w:t>per le occupazioni e la diffusione di</w:t>
      </w:r>
      <w:r w:rsidR="004B25F9" w:rsidRPr="000B4830">
        <w:rPr>
          <w:rFonts w:ascii="AsterStcc-Tondo" w:hAnsi="AsterStcc-Tondo" w:cs="AsterStcc-Tondo"/>
          <w:i/>
          <w:iCs/>
        </w:rPr>
        <w:t xml:space="preserve"> </w:t>
      </w:r>
      <w:r w:rsidR="00816CED" w:rsidRPr="000B4830">
        <w:rPr>
          <w:rFonts w:ascii="AsterStcc-Tondo" w:hAnsi="AsterStcc-Tondo" w:cs="AsterStcc-Tondo"/>
          <w:i/>
          <w:iCs/>
        </w:rPr>
        <w:t>messaggi pubblicitari realizzate abusivamente, la previsione di un’indennità pari al canone maggiorato fino al 50 per cento, considerando permanenti le occupazioni e la diffusione di messaggi pubblicitari realizzate con impianti o manufatti di carattere stabile e presumendo come temporanee le occupazioni e la diffusione di messaggi pubblicitari effettuate dal trentesimo</w:t>
      </w:r>
      <w:r w:rsidR="00BC20E5" w:rsidRPr="000B4830">
        <w:rPr>
          <w:i/>
          <w:iCs/>
        </w:rPr>
        <w:t xml:space="preserve"> </w:t>
      </w:r>
      <w:r w:rsidR="00816CED" w:rsidRPr="000B4830">
        <w:rPr>
          <w:rFonts w:ascii="AsterStcc-Tondo" w:hAnsi="AsterStcc-Tondo" w:cs="AsterStcc-Tondo"/>
          <w:i/>
          <w:iCs/>
        </w:rPr>
        <w:t xml:space="preserve">giorno antecedente la data del </w:t>
      </w:r>
      <w:r w:rsidR="00816CED" w:rsidRPr="008523BF">
        <w:rPr>
          <w:rFonts w:ascii="AsterStcc-Tondo" w:hAnsi="AsterStcc-Tondo" w:cs="AsterStcc-Tondo"/>
          <w:i/>
          <w:iCs/>
          <w:u w:val="single"/>
        </w:rPr>
        <w:t>verbale di accertamento, redatto da competente pubblico ufficiale;</w:t>
      </w:r>
      <w:r w:rsidR="001279BA" w:rsidRPr="008523BF">
        <w:rPr>
          <w:rFonts w:ascii="AsterStcc-Tondo" w:hAnsi="AsterStcc-Tondo" w:cs="AsterStcc-Tondo"/>
          <w:i/>
          <w:iCs/>
          <w:u w:val="single"/>
        </w:rPr>
        <w:t>”</w:t>
      </w:r>
      <w:r w:rsidR="008755DE" w:rsidRPr="008523BF">
        <w:rPr>
          <w:i/>
          <w:iCs/>
          <w:u w:val="single"/>
        </w:rPr>
        <w:t xml:space="preserve"> </w:t>
      </w:r>
      <w:r w:rsidR="00A41F97" w:rsidRPr="008523BF">
        <w:rPr>
          <w:i/>
          <w:iCs/>
          <w:u w:val="single"/>
        </w:rPr>
        <w:t xml:space="preserve"> </w:t>
      </w:r>
    </w:p>
    <w:p w14:paraId="10AA11FA" w14:textId="03AA42AB" w:rsidR="008523BF" w:rsidRPr="000B4830" w:rsidRDefault="00B029CB" w:rsidP="008523BF">
      <w:pPr>
        <w:jc w:val="both"/>
        <w:rPr>
          <w:i/>
          <w:iCs/>
        </w:rPr>
      </w:pPr>
      <w:r w:rsidRPr="005F1E3F">
        <w:t xml:space="preserve">La figura viene richiamata anche nel successivo comma 822, quando si disciplina la procedura di rimozione delle occupazioni di suolo pubblico e delle esposizioni pubblicitarie abusive. </w:t>
      </w:r>
      <w:r w:rsidR="005F1E3F">
        <w:t>Nel testo si legge</w:t>
      </w:r>
      <w:r>
        <w:rPr>
          <w:i/>
          <w:iCs/>
        </w:rPr>
        <w:t>: “</w:t>
      </w:r>
      <w:r w:rsidR="008523BF" w:rsidRPr="008523BF">
        <w:rPr>
          <w:i/>
          <w:iCs/>
        </w:rPr>
        <w:t>Gli enti procedono alla rimozione</w:t>
      </w:r>
      <w:r w:rsidR="008523BF">
        <w:rPr>
          <w:i/>
          <w:iCs/>
        </w:rPr>
        <w:t xml:space="preserve"> </w:t>
      </w:r>
      <w:r w:rsidR="008523BF" w:rsidRPr="008523BF">
        <w:rPr>
          <w:i/>
          <w:iCs/>
        </w:rPr>
        <w:t>delle occupazioni e dei mezzi pubblicitari</w:t>
      </w:r>
      <w:r w:rsidR="008523BF">
        <w:rPr>
          <w:i/>
          <w:iCs/>
        </w:rPr>
        <w:t xml:space="preserve"> </w:t>
      </w:r>
      <w:r w:rsidR="008523BF" w:rsidRPr="008523BF">
        <w:rPr>
          <w:i/>
          <w:iCs/>
        </w:rPr>
        <w:t>privi della prescritta concessione o autorizzazione</w:t>
      </w:r>
      <w:r w:rsidR="008523BF">
        <w:rPr>
          <w:i/>
          <w:iCs/>
        </w:rPr>
        <w:t xml:space="preserve"> </w:t>
      </w:r>
      <w:r w:rsidR="008523BF" w:rsidRPr="008523BF">
        <w:rPr>
          <w:i/>
          <w:iCs/>
        </w:rPr>
        <w:t>o effettuati in difformità dalle</w:t>
      </w:r>
      <w:r w:rsidR="008523BF">
        <w:rPr>
          <w:i/>
          <w:iCs/>
        </w:rPr>
        <w:t xml:space="preserve"> </w:t>
      </w:r>
      <w:r w:rsidR="008523BF" w:rsidRPr="008523BF">
        <w:rPr>
          <w:i/>
          <w:iCs/>
        </w:rPr>
        <w:t>stesse o per i quali non sia stato eseguito il</w:t>
      </w:r>
      <w:r w:rsidR="008523BF">
        <w:rPr>
          <w:i/>
          <w:iCs/>
        </w:rPr>
        <w:t xml:space="preserve"> </w:t>
      </w:r>
      <w:r w:rsidR="008523BF" w:rsidRPr="008523BF">
        <w:rPr>
          <w:i/>
          <w:iCs/>
        </w:rPr>
        <w:t>pagamento del relativo canone, nonché all’immediata</w:t>
      </w:r>
      <w:r w:rsidR="008523BF">
        <w:rPr>
          <w:i/>
          <w:iCs/>
        </w:rPr>
        <w:t xml:space="preserve"> </w:t>
      </w:r>
      <w:r w:rsidR="008523BF" w:rsidRPr="008523BF">
        <w:rPr>
          <w:i/>
          <w:iCs/>
        </w:rPr>
        <w:t>copertura della pubblicità in</w:t>
      </w:r>
      <w:r w:rsidR="008523BF">
        <w:rPr>
          <w:i/>
          <w:iCs/>
        </w:rPr>
        <w:t xml:space="preserve"> </w:t>
      </w:r>
      <w:r w:rsidR="008523BF" w:rsidRPr="008523BF">
        <w:rPr>
          <w:i/>
          <w:iCs/>
        </w:rPr>
        <w:t xml:space="preserve">tal modo effettuata, </w:t>
      </w:r>
      <w:r w:rsidR="008523BF" w:rsidRPr="00B029CB">
        <w:rPr>
          <w:i/>
          <w:iCs/>
          <w:u w:val="single"/>
        </w:rPr>
        <w:t>previa redazione di processo verbale di constatazione redatto da competente pubblico ufficiale</w:t>
      </w:r>
      <w:r w:rsidR="008523BF" w:rsidRPr="008523BF">
        <w:rPr>
          <w:i/>
          <w:iCs/>
        </w:rPr>
        <w:t>, con oneri</w:t>
      </w:r>
      <w:r w:rsidR="008523BF">
        <w:rPr>
          <w:i/>
          <w:iCs/>
        </w:rPr>
        <w:t xml:space="preserve"> </w:t>
      </w:r>
      <w:r w:rsidR="008523BF" w:rsidRPr="008523BF">
        <w:rPr>
          <w:i/>
          <w:iCs/>
        </w:rPr>
        <w:t>derivanti dalla rimozione a carico dei soggetti</w:t>
      </w:r>
      <w:r w:rsidR="008523BF">
        <w:rPr>
          <w:i/>
          <w:iCs/>
        </w:rPr>
        <w:t xml:space="preserve"> </w:t>
      </w:r>
      <w:r w:rsidR="008523BF" w:rsidRPr="008523BF">
        <w:rPr>
          <w:i/>
          <w:iCs/>
        </w:rPr>
        <w:t>che hanno effettuato le occupazioni o</w:t>
      </w:r>
      <w:r w:rsidR="008523BF">
        <w:rPr>
          <w:i/>
          <w:iCs/>
        </w:rPr>
        <w:t xml:space="preserve"> </w:t>
      </w:r>
      <w:r w:rsidR="008523BF" w:rsidRPr="008523BF">
        <w:rPr>
          <w:i/>
          <w:iCs/>
        </w:rPr>
        <w:t>l’esposizione pubblicitaria o per conto dei</w:t>
      </w:r>
      <w:r w:rsidR="008523BF">
        <w:rPr>
          <w:i/>
          <w:iCs/>
        </w:rPr>
        <w:t xml:space="preserve"> </w:t>
      </w:r>
      <w:r w:rsidR="008523BF" w:rsidRPr="008523BF">
        <w:rPr>
          <w:i/>
          <w:iCs/>
        </w:rPr>
        <w:t>quali la pubblicità è stata effettuata.</w:t>
      </w:r>
      <w:r>
        <w:rPr>
          <w:i/>
          <w:iCs/>
        </w:rPr>
        <w:t>”</w:t>
      </w:r>
    </w:p>
    <w:p w14:paraId="79FE250F" w14:textId="46E98B75" w:rsidR="00816CED" w:rsidRPr="005F1E3F" w:rsidRDefault="00816CED" w:rsidP="00816CED">
      <w:pPr>
        <w:autoSpaceDE w:val="0"/>
        <w:autoSpaceDN w:val="0"/>
        <w:adjustRightInd w:val="0"/>
        <w:spacing w:after="0" w:line="240" w:lineRule="auto"/>
        <w:jc w:val="both"/>
      </w:pPr>
    </w:p>
    <w:p w14:paraId="450C4255" w14:textId="67A14E32" w:rsidR="0008755B" w:rsidRDefault="00972070" w:rsidP="003A74C5">
      <w:pPr>
        <w:jc w:val="both"/>
        <w:rPr>
          <w:b/>
          <w:bCs/>
        </w:rPr>
      </w:pPr>
      <w:r>
        <w:rPr>
          <w:b/>
          <w:bCs/>
        </w:rPr>
        <w:t>Chi sono i Pubblici Ufficiali</w:t>
      </w:r>
    </w:p>
    <w:p w14:paraId="10973038" w14:textId="2358F65A" w:rsidR="004C6F67" w:rsidRDefault="004C6F67" w:rsidP="003A74C5">
      <w:pPr>
        <w:jc w:val="both"/>
      </w:pPr>
      <w:r>
        <w:t xml:space="preserve">Le figure di Pubblico Ufficiale </w:t>
      </w:r>
      <w:r w:rsidR="0014050E">
        <w:t xml:space="preserve">che possono legittimamente dedicarsi alle disposizioni contenute nei commi 821 e 822 della Legge 160/2019, </w:t>
      </w:r>
      <w:r>
        <w:t xml:space="preserve"> </w:t>
      </w:r>
      <w:r w:rsidR="0014050E">
        <w:t xml:space="preserve">e in generale </w:t>
      </w:r>
      <w:r w:rsidR="00B367A8">
        <w:t xml:space="preserve">dedicate </w:t>
      </w:r>
      <w:r>
        <w:t>alla attività di rilevazione sul territorio dei possibili abusi realizzati in materia di occupazioni e di esposizioni pubblicitarie, sono essenzialmente due, l’Agente di Polizia Locale e l’Accertatore delle Entrate</w:t>
      </w:r>
      <w:r w:rsidR="00B367A8">
        <w:t xml:space="preserve">, </w:t>
      </w:r>
      <w:r>
        <w:t xml:space="preserve"> </w:t>
      </w:r>
      <w:r w:rsidR="0014050E">
        <w:t xml:space="preserve">quest’ultima </w:t>
      </w:r>
      <w:r>
        <w:t>figura prevista e istituita dalla Legge 296 del 2006</w:t>
      </w:r>
      <w:r w:rsidR="00CF20F0">
        <w:t xml:space="preserve"> con poteri e </w:t>
      </w:r>
      <w:proofErr w:type="spellStart"/>
      <w:r w:rsidR="00CF20F0">
        <w:t>stutus</w:t>
      </w:r>
      <w:proofErr w:type="spellEnd"/>
      <w:r w:rsidR="00CF20F0">
        <w:t xml:space="preserve"> sovrapponibile in materia di entrate all’agente della municipale</w:t>
      </w:r>
      <w:r>
        <w:t>.</w:t>
      </w:r>
    </w:p>
    <w:p w14:paraId="35258FE7" w14:textId="34CA5287" w:rsidR="004C6F67" w:rsidRDefault="004C6F67" w:rsidP="003A74C5">
      <w:pPr>
        <w:jc w:val="both"/>
        <w:rPr>
          <w:i/>
          <w:iCs/>
        </w:rPr>
      </w:pPr>
      <w:r>
        <w:t>Il comma 179 della Legge 296 del 2006 prevede</w:t>
      </w:r>
      <w:r w:rsidR="00B367A8">
        <w:t xml:space="preserve"> infatti</w:t>
      </w:r>
      <w:r>
        <w:t>: “</w:t>
      </w:r>
      <w:r w:rsidRPr="004C6F67">
        <w:rPr>
          <w:i/>
          <w:iCs/>
        </w:rPr>
        <w:t>I comuni e le province, con provvedimento adottato dal dirigente dell'ufficio competente, possono conferire i poteri di accertamento, di contestazione immediata, nonché di redazione e di sottoscrizione del processo verbale di accertamento per le violazioni relative alle proprie entrate e per quelle che si verificano sul proprio territorio, a dipendenti dell'ente locale o dei soggetti affidatari, anche in maniera disgiunta, delle attività di liquidazione, accertamento e riscossione dei tributi e di riscossione delle altre entrate, ai sensi dell'articolo 52, comma 5, lettera b), del decreto legislativo 15 dicembre 1997, n. 446, e successive modificazioni. Si applicano le disposizioni dell'articolo 68, comma 1, della legge 23 dicembre 1999, n. 488, relative all'efficacia del verbale di accertamento</w:t>
      </w:r>
      <w:r>
        <w:rPr>
          <w:i/>
          <w:iCs/>
        </w:rPr>
        <w:t>”</w:t>
      </w:r>
      <w:r w:rsidRPr="004C6F67">
        <w:rPr>
          <w:i/>
          <w:iCs/>
        </w:rPr>
        <w:t>.</w:t>
      </w:r>
    </w:p>
    <w:p w14:paraId="3F33B645" w14:textId="745F36BE" w:rsidR="001816F4" w:rsidRDefault="004C6F67" w:rsidP="008F3983">
      <w:pPr>
        <w:jc w:val="both"/>
      </w:pPr>
      <w:r>
        <w:t xml:space="preserve">Il Legislatore, già con la Legge Finanziaria del 2007 istituiva </w:t>
      </w:r>
      <w:r w:rsidR="00B367A8">
        <w:t>quindi una specifica</w:t>
      </w:r>
      <w:r>
        <w:t xml:space="preserve"> figura di pubblico ufficiale dedicato all’ufficio entrate dell’ente locale. Una </w:t>
      </w:r>
      <w:r w:rsidR="00556DC4">
        <w:t>figura qualificata</w:t>
      </w:r>
      <w:r w:rsidR="00CC41A9">
        <w:t>,</w:t>
      </w:r>
      <w:r>
        <w:t xml:space="preserve"> </w:t>
      </w:r>
      <w:r w:rsidR="00CC41A9">
        <w:t xml:space="preserve">con specifiche competenze in materia di entrate, </w:t>
      </w:r>
      <w:r>
        <w:t xml:space="preserve">che va ad integrare </w:t>
      </w:r>
      <w:r w:rsidR="00CC41A9">
        <w:t xml:space="preserve">l’attività svolta </w:t>
      </w:r>
      <w:r>
        <w:t>d</w:t>
      </w:r>
      <w:r w:rsidR="00CC41A9">
        <w:t>a</w:t>
      </w:r>
      <w:r>
        <w:t>ll’agente di Polizia Locale,</w:t>
      </w:r>
      <w:r w:rsidR="00CC41A9">
        <w:t xml:space="preserve"> tipicamente impegnato sulle violazioni al Codice della Strada</w:t>
      </w:r>
      <w:r>
        <w:t xml:space="preserve">. Nell’istituire questa </w:t>
      </w:r>
      <w:r w:rsidR="00556DC4">
        <w:t xml:space="preserve">nuova </w:t>
      </w:r>
      <w:r>
        <w:t xml:space="preserve">figura, viene conferita </w:t>
      </w:r>
      <w:r w:rsidR="00556DC4">
        <w:t xml:space="preserve">al </w:t>
      </w:r>
      <w:r w:rsidR="00CC41A9">
        <w:t xml:space="preserve">personale dell’ente individuato, </w:t>
      </w:r>
      <w:r w:rsidR="00556DC4">
        <w:t xml:space="preserve">la capacità </w:t>
      </w:r>
      <w:r>
        <w:t xml:space="preserve">di redigere e sottoscrivere verbali di accertamento per le violazioni </w:t>
      </w:r>
      <w:r w:rsidR="004C4C6B">
        <w:t>che vengono commesse nell’ambito del territorio di competenza dell’ente locale.</w:t>
      </w:r>
      <w:r>
        <w:t xml:space="preserve"> </w:t>
      </w:r>
      <w:r w:rsidR="004C4C6B">
        <w:t xml:space="preserve">Lo specifico richiamo alle </w:t>
      </w:r>
      <w:r w:rsidR="004C4C6B" w:rsidRPr="004C4C6B">
        <w:t>disposizioni dell'articolo 68, comma 1, della legge 23 dicembre 1999, n. 488</w:t>
      </w:r>
      <w:r w:rsidR="004C4C6B">
        <w:t>, consent</w:t>
      </w:r>
      <w:r w:rsidR="00392A97">
        <w:t>e</w:t>
      </w:r>
      <w:r w:rsidR="004C4C6B">
        <w:t xml:space="preserve"> di </w:t>
      </w:r>
      <w:r w:rsidR="001816F4">
        <w:t xml:space="preserve">valutare l’operato </w:t>
      </w:r>
      <w:r w:rsidR="001816F4">
        <w:lastRenderedPageBreak/>
        <w:t>dell’accertatore proprio co</w:t>
      </w:r>
      <w:r w:rsidR="00392A97">
        <w:t>n le caratteristiche tipiche del pubblico u</w:t>
      </w:r>
      <w:r w:rsidR="001816F4">
        <w:t>fficiale che adotta atti</w:t>
      </w:r>
      <w:r w:rsidR="001816F4" w:rsidRPr="001816F4">
        <w:t xml:space="preserve"> </w:t>
      </w:r>
      <w:r w:rsidR="008F3983">
        <w:t xml:space="preserve">conformi al disposto dell’articolo </w:t>
      </w:r>
      <w:r w:rsidR="001816F4" w:rsidRPr="001816F4">
        <w:t xml:space="preserve">2699 </w:t>
      </w:r>
      <w:r w:rsidR="008F3983">
        <w:t>del Codice Civile, dove si stabilisce come l</w:t>
      </w:r>
      <w:r w:rsidR="001816F4" w:rsidRPr="001816F4">
        <w:t>'atto pubblico è il documento redatto, con le richieste formalità, da un notaio o da altro pubblico ufficiale autorizzato ad attribuirgli pubblica fede nel luogo dove l'atto è formato</w:t>
      </w:r>
      <w:r w:rsidR="008F3983">
        <w:t>. Il successivo articolo 2700, prevede poi che l</w:t>
      </w:r>
      <w:r w:rsidR="001816F4" w:rsidRPr="001816F4">
        <w:t>'atto pubblico fa</w:t>
      </w:r>
      <w:r w:rsidR="0034004D">
        <w:t>ccia</w:t>
      </w:r>
      <w:r w:rsidR="001816F4" w:rsidRPr="001816F4">
        <w:t xml:space="preserve"> piena prova, fino a querela di falso, della provenienza del documento dal pubblico ufficiale che lo ha formato, nonché delle dichiarazioni delle parti e degli altri fatti che il pubblico ufficiale attesta avvenuti in sua presenza o da lui compiuti.</w:t>
      </w:r>
    </w:p>
    <w:p w14:paraId="174C3A0A" w14:textId="0C9E1BD9" w:rsidR="001816F4" w:rsidRDefault="00CA29DB" w:rsidP="008F3983">
      <w:pPr>
        <w:jc w:val="both"/>
      </w:pPr>
      <w:r w:rsidRPr="00CA29DB">
        <w:t xml:space="preserve">Agli accertatori </w:t>
      </w:r>
      <w:r w:rsidR="00CB309A" w:rsidRPr="00CA29DB">
        <w:t>tributari può</w:t>
      </w:r>
      <w:r w:rsidRPr="00CA29DB">
        <w:t xml:space="preserve"> essere</w:t>
      </w:r>
      <w:r w:rsidR="0034004D">
        <w:t xml:space="preserve"> pertanto </w:t>
      </w:r>
      <w:r w:rsidRPr="00CA29DB">
        <w:t>riconosciuta la qualifica di pubblici ufficiali con i conseguenti poteri di accertare,</w:t>
      </w:r>
      <w:r w:rsidR="001133D3">
        <w:t xml:space="preserve"> </w:t>
      </w:r>
      <w:r w:rsidRPr="00CA29DB">
        <w:t>contestare immediatamente e redigere il processo verbale con il limite di poter esplicare tale attività solo nel territorio in cui sono stati nominati e senza il potere di poter comminare alcuna sanzione ne diretta ne accessoria</w:t>
      </w:r>
      <w:r w:rsidR="001133D3">
        <w:t xml:space="preserve">. </w:t>
      </w:r>
      <w:r w:rsidRPr="00CA29DB">
        <w:t xml:space="preserve">I poteri </w:t>
      </w:r>
      <w:r>
        <w:t xml:space="preserve">riconosciuti all’accertatore delle entrate, </w:t>
      </w:r>
      <w:r w:rsidRPr="00CA29DB">
        <w:t>di cui al comma 179 non includono, comunque, la contestazione delle violazioni delle disposizioni del decreto legislativo 30 aprile 1992, n. 285</w:t>
      </w:r>
      <w:r>
        <w:t xml:space="preserve">, ossia del Codice della Strada. Normativa speciale di esclusiva competenza, a livello territoriale, degli agenti di Polizia Locale. </w:t>
      </w:r>
    </w:p>
    <w:p w14:paraId="27B1B22F" w14:textId="38056285" w:rsidR="001816F4" w:rsidRDefault="001133D3" w:rsidP="001133D3">
      <w:pPr>
        <w:jc w:val="both"/>
      </w:pPr>
      <w:r>
        <w:t>In materia di Canone Unico, gli accertatori delle entrate diventano</w:t>
      </w:r>
      <w:r w:rsidR="0034004D">
        <w:t xml:space="preserve"> così </w:t>
      </w:r>
      <w:r>
        <w:t>figur</w:t>
      </w:r>
      <w:r w:rsidR="00CB309A">
        <w:t>e</w:t>
      </w:r>
      <w:r>
        <w:t xml:space="preserve"> indispensabil</w:t>
      </w:r>
      <w:r w:rsidR="00CB309A">
        <w:t>i</w:t>
      </w:r>
      <w:r>
        <w:t xml:space="preserve"> nelle attività di vigilanza e presidio del territorio, chiamati a verificare le occupazioni di suolo pubblico e le esposizioni pubblicitarie effettuate abusivamente o in difformità rispetto al titolo rilasciato. </w:t>
      </w:r>
      <w:r w:rsidR="0034004D">
        <w:t>Nello svolgimento delle loro attività</w:t>
      </w:r>
      <w:r w:rsidRPr="001133D3">
        <w:t xml:space="preserve"> </w:t>
      </w:r>
      <w:r w:rsidR="00CB309A">
        <w:t>possono</w:t>
      </w:r>
      <w:r w:rsidRPr="001133D3">
        <w:t xml:space="preserve"> procedere a rilievi segnaletici, descrittivi e fotografici e ad ogni altra operazione tecnica</w:t>
      </w:r>
      <w:r w:rsidR="00CB309A">
        <w:t xml:space="preserve"> necessaria</w:t>
      </w:r>
      <w:r w:rsidRPr="001133D3">
        <w:t>.</w:t>
      </w:r>
      <w:r w:rsidR="00CB309A">
        <w:t xml:space="preserve"> </w:t>
      </w:r>
      <w:r w:rsidRPr="001133D3">
        <w:t xml:space="preserve">È consentito </w:t>
      </w:r>
      <w:r w:rsidR="0034004D">
        <w:t xml:space="preserve">loro </w:t>
      </w:r>
      <w:r w:rsidRPr="001133D3">
        <w:t>di servirsi di mezzi di indagine capaci di conservare memoria di ciò che hanno visto. Possono quindi ricorrere al rilievo fotografico per fissare in un documento “dato oggettivo" l'illecito constatato</w:t>
      </w:r>
      <w:r w:rsidR="00CB309A">
        <w:t>.</w:t>
      </w:r>
    </w:p>
    <w:p w14:paraId="41A1471B" w14:textId="07CD70A8" w:rsidR="0034004D" w:rsidRPr="001816F4" w:rsidRDefault="0034004D" w:rsidP="001133D3">
      <w:pPr>
        <w:jc w:val="both"/>
      </w:pPr>
      <w:r>
        <w:t>Attività chiaramente compatibile con quanto richiesto dalla lettera G del comma 821 e dal comma 822 della Legge istitutiva del CUP.</w:t>
      </w:r>
    </w:p>
    <w:p w14:paraId="4906441D" w14:textId="3DE44491" w:rsidR="004C6F67" w:rsidRPr="004C6F67" w:rsidRDefault="004C6F67" w:rsidP="008F3983">
      <w:pPr>
        <w:jc w:val="both"/>
        <w:rPr>
          <w:b/>
          <w:bCs/>
        </w:rPr>
      </w:pPr>
    </w:p>
    <w:p w14:paraId="10FA1A93" w14:textId="57400553" w:rsidR="00464C00" w:rsidRDefault="00972070" w:rsidP="008F3983">
      <w:pPr>
        <w:jc w:val="both"/>
        <w:rPr>
          <w:b/>
          <w:bCs/>
        </w:rPr>
      </w:pPr>
      <w:r>
        <w:rPr>
          <w:b/>
          <w:bCs/>
        </w:rPr>
        <w:t xml:space="preserve">Il </w:t>
      </w:r>
      <w:r w:rsidR="003402EE">
        <w:rPr>
          <w:b/>
          <w:bCs/>
        </w:rPr>
        <w:t>Verbale</w:t>
      </w:r>
      <w:r>
        <w:rPr>
          <w:b/>
          <w:bCs/>
        </w:rPr>
        <w:t xml:space="preserve"> di accertamento e il verbale di constatazione</w:t>
      </w:r>
    </w:p>
    <w:p w14:paraId="0AE55820" w14:textId="5913FC41" w:rsidR="004C6F67" w:rsidRDefault="000C7DE1" w:rsidP="004E1850">
      <w:pPr>
        <w:jc w:val="both"/>
      </w:pPr>
      <w:r>
        <w:t>In generale i</w:t>
      </w:r>
      <w:r w:rsidR="004E1850" w:rsidRPr="004E1850">
        <w:t xml:space="preserve"> </w:t>
      </w:r>
      <w:r>
        <w:t>p</w:t>
      </w:r>
      <w:r w:rsidR="004E1850" w:rsidRPr="004E1850">
        <w:t>oteri di contestazione sono regolati dall’art. 14 della L.689/1981</w:t>
      </w:r>
      <w:r>
        <w:t xml:space="preserve">, in base al quale per contestare una violazione </w:t>
      </w:r>
      <w:r w:rsidR="0034004D">
        <w:t xml:space="preserve">occorre </w:t>
      </w:r>
      <w:r w:rsidR="0034004D" w:rsidRPr="004E1850">
        <w:t>un verbale scritto e la sua consegna al trasgressore</w:t>
      </w:r>
      <w:r>
        <w:t>. L</w:t>
      </w:r>
      <w:r w:rsidR="004E1850" w:rsidRPr="004E1850">
        <w:t xml:space="preserve">a contestazione </w:t>
      </w:r>
      <w:r>
        <w:t xml:space="preserve">chiaramente </w:t>
      </w:r>
      <w:r w:rsidR="004E1850" w:rsidRPr="004E1850">
        <w:t xml:space="preserve">non è valida se </w:t>
      </w:r>
      <w:r w:rsidR="0034004D">
        <w:t>comunicata</w:t>
      </w:r>
      <w:r w:rsidR="004E1850" w:rsidRPr="004E1850">
        <w:t xml:space="preserve"> al trasgressore solo a parole</w:t>
      </w:r>
      <w:r>
        <w:t>, così che t</w:t>
      </w:r>
      <w:r w:rsidR="0034004D">
        <w:t xml:space="preserve">utte le volte che </w:t>
      </w:r>
      <w:r w:rsidR="004E1850" w:rsidRPr="004E1850">
        <w:t>non è possibile contestare immediatamente l'illecito al trasgressore, glielo si deve notificare</w:t>
      </w:r>
      <w:r w:rsidR="0034004D">
        <w:t xml:space="preserve">, entro il termine di </w:t>
      </w:r>
      <w:r w:rsidR="004E1850" w:rsidRPr="004E1850">
        <w:t>90 giorni</w:t>
      </w:r>
      <w:r w:rsidR="0034004D">
        <w:t xml:space="preserve">, </w:t>
      </w:r>
      <w:r w:rsidR="004E1850" w:rsidRPr="004E1850">
        <w:t>se si tratta di residenti in Italia,</w:t>
      </w:r>
      <w:r w:rsidR="0034004D">
        <w:t xml:space="preserve"> oppure </w:t>
      </w:r>
      <w:r w:rsidR="004E1850" w:rsidRPr="004E1850">
        <w:t>360 giorni se si tratta di residenti all'estero.</w:t>
      </w:r>
    </w:p>
    <w:p w14:paraId="5AB7F861" w14:textId="2B647A8F" w:rsidR="00BE5D0E" w:rsidRDefault="00BE5D0E" w:rsidP="004E1850">
      <w:pPr>
        <w:jc w:val="both"/>
      </w:pPr>
      <w:r>
        <w:t xml:space="preserve">Quando la contestazione avviene a cura della Polizia Locale, viene emesso un Verbale di contestazione, </w:t>
      </w:r>
      <w:r w:rsidR="000C7DE1">
        <w:t>con il</w:t>
      </w:r>
      <w:r>
        <w:t xml:space="preserve"> quale </w:t>
      </w:r>
      <w:r w:rsidR="000C7DE1">
        <w:t>si contesta la violazione al Codice della Strada, articolo 20 in caso di occupazione di suolo pubblico abusiva, e articolo 23 in caso di esposizione pubblicitaria senza titolo o difforme.</w:t>
      </w:r>
    </w:p>
    <w:p w14:paraId="64313CB0" w14:textId="34C2AC3D" w:rsidR="0091302E" w:rsidRDefault="0091302E" w:rsidP="004E1850">
      <w:pPr>
        <w:jc w:val="both"/>
      </w:pPr>
      <w:r>
        <w:t xml:space="preserve">Quando la contestazione avviene </w:t>
      </w:r>
      <w:r w:rsidR="006C5269">
        <w:t xml:space="preserve">invece </w:t>
      </w:r>
      <w:r>
        <w:t>a cura dell’Accertatore delle Entrate, viene emesso un Verbale di accertamento, nel quale non viene</w:t>
      </w:r>
      <w:r w:rsidR="00672493">
        <w:t>,</w:t>
      </w:r>
      <w:r>
        <w:t xml:space="preserve"> come detto</w:t>
      </w:r>
      <w:r w:rsidR="00672493">
        <w:t>,</w:t>
      </w:r>
      <w:r>
        <w:t xml:space="preserve"> irrogata </w:t>
      </w:r>
      <w:r w:rsidR="00672493">
        <w:t>alcuna</w:t>
      </w:r>
      <w:r>
        <w:t xml:space="preserve"> sanzione, ne rispetto al </w:t>
      </w:r>
      <w:proofErr w:type="spellStart"/>
      <w:r>
        <w:t>CdS</w:t>
      </w:r>
      <w:proofErr w:type="spellEnd"/>
      <w:r>
        <w:t xml:space="preserve"> </w:t>
      </w:r>
      <w:proofErr w:type="gramStart"/>
      <w:r>
        <w:t>ne</w:t>
      </w:r>
      <w:proofErr w:type="gramEnd"/>
      <w:r>
        <w:t xml:space="preserve"> sanzione amministrativa rispetto al regolamento CUP, ma viene </w:t>
      </w:r>
      <w:r w:rsidR="00672493">
        <w:t xml:space="preserve">solo </w:t>
      </w:r>
      <w:r>
        <w:t>contestata la violazione e trasmessa agli uffici competenti per i conseguenti adempimenti, primo dei quali l’emissione e notificazione dell’Avviso di accertamento esecutivo ex comma 792 della Legge 160/2019.</w:t>
      </w:r>
    </w:p>
    <w:p w14:paraId="71115703" w14:textId="42973BED" w:rsidR="0091302E" w:rsidRDefault="0091302E" w:rsidP="004E1850">
      <w:pPr>
        <w:jc w:val="both"/>
      </w:pPr>
      <w:r>
        <w:t xml:space="preserve">Entrambe le </w:t>
      </w:r>
      <w:r w:rsidR="00672493">
        <w:t>vie possibili</w:t>
      </w:r>
      <w:r>
        <w:t xml:space="preserve"> di contestazione sono strument</w:t>
      </w:r>
      <w:r w:rsidR="00CF20F0">
        <w:t>i</w:t>
      </w:r>
      <w:r>
        <w:t xml:space="preserve"> utilissim</w:t>
      </w:r>
      <w:r w:rsidR="00CF20F0">
        <w:t>i</w:t>
      </w:r>
      <w:r>
        <w:t xml:space="preserve"> per gli adempimenti in merito al recupero del canone e </w:t>
      </w:r>
      <w:r w:rsidR="00672493">
        <w:t xml:space="preserve">in merito </w:t>
      </w:r>
      <w:r w:rsidR="006C5269">
        <w:t xml:space="preserve">alle iniziative </w:t>
      </w:r>
      <w:r w:rsidR="00672493">
        <w:t>regolate</w:t>
      </w:r>
      <w:r w:rsidR="006C5269">
        <w:t xml:space="preserve"> nei commi 821 e 822 </w:t>
      </w:r>
      <w:proofErr w:type="gramStart"/>
      <w:r w:rsidR="006C5269">
        <w:t xml:space="preserve">della </w:t>
      </w:r>
      <w:r>
        <w:t xml:space="preserve"> </w:t>
      </w:r>
      <w:r w:rsidR="006C5269">
        <w:t>Legge</w:t>
      </w:r>
      <w:proofErr w:type="gramEnd"/>
      <w:r w:rsidR="006C5269">
        <w:t xml:space="preserve"> 160/2019.</w:t>
      </w:r>
    </w:p>
    <w:p w14:paraId="1180CFEC" w14:textId="555F8C3E" w:rsidR="004C6F67" w:rsidRDefault="004E1850" w:rsidP="008F3983">
      <w:pPr>
        <w:jc w:val="both"/>
      </w:pPr>
      <w:r>
        <w:t>R</w:t>
      </w:r>
      <w:r w:rsidRPr="004E1850">
        <w:t>ivestendo l’accertatore la funzione di pubblico ufficiale il verbale di accertamento redatto nei modi di legge costituisce</w:t>
      </w:r>
      <w:r>
        <w:t xml:space="preserve">, </w:t>
      </w:r>
      <w:r w:rsidR="00BE5D0E" w:rsidRPr="004E1850">
        <w:t>atto</w:t>
      </w:r>
      <w:r w:rsidRPr="004E1850">
        <w:t xml:space="preserve"> pubblico facente fede fino a querela di falso. Tale rilievo ha efficacia sia in relazione all’accertamento delle violazioni amministrative che a quelle tributarie e patrimoniali.</w:t>
      </w:r>
      <w:r>
        <w:t xml:space="preserve"> </w:t>
      </w:r>
      <w:r w:rsidRPr="004E1850">
        <w:t xml:space="preserve">In tali situazioni un </w:t>
      </w:r>
      <w:r w:rsidRPr="004E1850">
        <w:lastRenderedPageBreak/>
        <w:t>verbale facente fede fino a querela di falso che attesti la effettiva sussistenza della fattispecie imponibile costituisce elemento di assoluta certezza della pretesa in sede di contenzioso innanzi a</w:t>
      </w:r>
      <w:r>
        <w:t>gli organi di giustizia, tributaria e ordinaria a seconda della natura dell’entrata per cui si procede.</w:t>
      </w:r>
    </w:p>
    <w:p w14:paraId="1B4FDB04" w14:textId="1801A120" w:rsidR="004E1850" w:rsidRDefault="004E1850" w:rsidP="004E1850">
      <w:pPr>
        <w:jc w:val="both"/>
      </w:pPr>
      <w:r>
        <w:t xml:space="preserve">Nella redazione del verbale di contestazione </w:t>
      </w:r>
      <w:r w:rsidRPr="004E1850">
        <w:t>gli elementi fondamentali</w:t>
      </w:r>
      <w:r>
        <w:t xml:space="preserve"> che lo compongono sono rinvenibili nell’individuazione del soggetto, che </w:t>
      </w:r>
      <w:r w:rsidRPr="004E1850">
        <w:t>dovrà necessariamente essere una P.A. che dovrà porre in essere il procedimento nel rispetto di eventuali limiti di tempo, spazio e materia di competenza</w:t>
      </w:r>
      <w:r>
        <w:t xml:space="preserve">, nell’oggetto, </w:t>
      </w:r>
      <w:r w:rsidR="006C5269">
        <w:t xml:space="preserve">che </w:t>
      </w:r>
      <w:r w:rsidRPr="004E1850">
        <w:t xml:space="preserve">è la persona (o le persone) destinatarie degli effetti indicati nell’atto e </w:t>
      </w:r>
      <w:r w:rsidR="006C5269">
        <w:t xml:space="preserve">che </w:t>
      </w:r>
      <w:r w:rsidRPr="004E1850">
        <w:t>deve essere idonea a subire tali effetti</w:t>
      </w:r>
      <w:r>
        <w:t xml:space="preserve">, nella forma, </w:t>
      </w:r>
      <w:r w:rsidR="006C5269">
        <w:t>che</w:t>
      </w:r>
      <w:r>
        <w:t xml:space="preserve"> </w:t>
      </w:r>
      <w:r w:rsidRPr="004E1850">
        <w:t xml:space="preserve">è la veste con la quale l’atto si presenta, in genere scritta, </w:t>
      </w:r>
      <w:r>
        <w:t xml:space="preserve"> nel contenuto</w:t>
      </w:r>
      <w:r w:rsidR="006C5269">
        <w:t>,</w:t>
      </w:r>
      <w:r>
        <w:t xml:space="preserve"> che </w:t>
      </w:r>
      <w:r w:rsidRPr="004E1850">
        <w:t>deve essere determinato o determinabile, oltre che lecito</w:t>
      </w:r>
      <w:r>
        <w:t xml:space="preserve">, nella finalità, ovvero </w:t>
      </w:r>
      <w:r w:rsidR="006C5269">
        <w:t>nel</w:t>
      </w:r>
      <w:r>
        <w:t xml:space="preserve">lo </w:t>
      </w:r>
      <w:r w:rsidRPr="004E1850">
        <w:t>scopo per il quale l’atto è emesso</w:t>
      </w:r>
      <w:r>
        <w:t>.</w:t>
      </w:r>
    </w:p>
    <w:p w14:paraId="5941BB4D" w14:textId="70039D30" w:rsidR="004E1850" w:rsidRDefault="004E1850" w:rsidP="00735CFB">
      <w:pPr>
        <w:jc w:val="both"/>
      </w:pPr>
      <w:r>
        <w:t>In questo senso il verbale di accertamento dovrà necessariamente contenere i seguenti elementi:</w:t>
      </w:r>
      <w:r w:rsidR="00735CFB">
        <w:t xml:space="preserve"> </w:t>
      </w:r>
      <w:r w:rsidR="00735CFB" w:rsidRPr="00735CFB">
        <w:t>l'indicazione della data, dell'ora e del luogo di accertamento</w:t>
      </w:r>
      <w:r w:rsidR="006C5269">
        <w:t>,</w:t>
      </w:r>
      <w:r w:rsidR="00735CFB">
        <w:t xml:space="preserve"> </w:t>
      </w:r>
      <w:r w:rsidR="00735CFB" w:rsidRPr="00735CFB">
        <w:t>le generalità e la qualifica del verbalizzante</w:t>
      </w:r>
      <w:r w:rsidR="006C5269">
        <w:t>,</w:t>
      </w:r>
      <w:r w:rsidR="00735CFB">
        <w:t xml:space="preserve"> </w:t>
      </w:r>
      <w:r w:rsidR="00735CFB" w:rsidRPr="00735CFB">
        <w:t>le generalità del trasgressore, la descrizione sommaria del fatto costituente la violazione con l'indicazione delle circostanze di tempo  e di luogo e degli eventuali mezzi impiegati dal trasgressore</w:t>
      </w:r>
      <w:r w:rsidR="006C5269">
        <w:t>,</w:t>
      </w:r>
      <w:r w:rsidR="00735CFB">
        <w:t xml:space="preserve"> </w:t>
      </w:r>
      <w:r w:rsidR="00735CFB" w:rsidRPr="00735CFB">
        <w:t>l'indicazione delle norme che si ritengono violate</w:t>
      </w:r>
      <w:r w:rsidR="006C5269">
        <w:t>,</w:t>
      </w:r>
      <w:r w:rsidR="00735CFB">
        <w:t xml:space="preserve"> </w:t>
      </w:r>
      <w:r w:rsidR="00735CFB" w:rsidRPr="00735CFB">
        <w:t>l'individuazione degli eventuali responsabili in solido</w:t>
      </w:r>
      <w:r w:rsidR="00735CFB">
        <w:t xml:space="preserve">, </w:t>
      </w:r>
      <w:r w:rsidR="00735CFB" w:rsidRPr="00735CFB">
        <w:t>l'indicazione dell'ente o dell'organo dal quale il trasgressore ha facoltà di essere sentito od al quale può presentare scritti difensivi documentati</w:t>
      </w:r>
      <w:r w:rsidR="00735CFB">
        <w:t xml:space="preserve">, </w:t>
      </w:r>
      <w:r w:rsidR="00735CFB" w:rsidRPr="00735CFB">
        <w:t>l'eventuale dichiarazione resa dal trasgressore</w:t>
      </w:r>
      <w:r w:rsidR="006C5269">
        <w:t>,</w:t>
      </w:r>
      <w:r w:rsidR="00735CFB">
        <w:t xml:space="preserve"> </w:t>
      </w:r>
      <w:r w:rsidR="00735CFB" w:rsidRPr="00735CFB">
        <w:t>la sottoscrizione del verbalizzante.</w:t>
      </w:r>
    </w:p>
    <w:p w14:paraId="33245CA4" w14:textId="2635AD9C" w:rsidR="00EF4EE2" w:rsidRPr="004E1850" w:rsidRDefault="00EF4EE2" w:rsidP="00EF4EE2">
      <w:pPr>
        <w:jc w:val="both"/>
      </w:pPr>
      <w:r w:rsidRPr="00EF4EE2">
        <w:t xml:space="preserve">Il verbale di accertamento </w:t>
      </w:r>
      <w:r w:rsidR="006C5269">
        <w:t xml:space="preserve">infine </w:t>
      </w:r>
      <w:r>
        <w:t>deve essere</w:t>
      </w:r>
      <w:r w:rsidRPr="00EF4EE2">
        <w:t xml:space="preserve"> redatto in almeno 3 copie</w:t>
      </w:r>
      <w:r>
        <w:t xml:space="preserve">, </w:t>
      </w:r>
      <w:r w:rsidRPr="00EF4EE2">
        <w:t>una va consegnata (o inviata in caso di notificazione) al trasgressore</w:t>
      </w:r>
      <w:r>
        <w:t xml:space="preserve">, </w:t>
      </w:r>
      <w:r w:rsidRPr="00EF4EE2">
        <w:t>una sarà conservata nell'ufficio dell'Ente al quale l’Accertatore fa capo</w:t>
      </w:r>
      <w:r>
        <w:t xml:space="preserve">, e </w:t>
      </w:r>
      <w:r w:rsidRPr="00EF4EE2">
        <w:t>la terza verrà conservata nella cartella personale dell’Accertatore.</w:t>
      </w:r>
    </w:p>
    <w:p w14:paraId="202D2813" w14:textId="43717D69" w:rsidR="003402EE" w:rsidRDefault="00556DC4" w:rsidP="008F3983">
      <w:pPr>
        <w:jc w:val="both"/>
        <w:rPr>
          <w:b/>
          <w:bCs/>
        </w:rPr>
      </w:pPr>
      <w:r>
        <w:rPr>
          <w:b/>
          <w:bCs/>
        </w:rPr>
        <w:t>L’attività di rilevazione sul territorio</w:t>
      </w:r>
    </w:p>
    <w:p w14:paraId="73E51097" w14:textId="0B6E52CD" w:rsidR="00556DC4" w:rsidRDefault="00556DC4" w:rsidP="008F3983">
      <w:pPr>
        <w:jc w:val="both"/>
      </w:pPr>
      <w:r w:rsidRPr="00556DC4">
        <w:t>Detto dell’importanza di queste due figure di pubblico ufficiale</w:t>
      </w:r>
      <w:r w:rsidR="00672493">
        <w:t>,</w:t>
      </w:r>
      <w:r w:rsidRPr="00556DC4">
        <w:t xml:space="preserve"> nell’ambito della disciplina CUP</w:t>
      </w:r>
      <w:r>
        <w:t>, si deve precisare che la rilevazione sul territorio, può essere ancora effettuata da diverso personale incaricato e formato in materia</w:t>
      </w:r>
      <w:r w:rsidR="008C24A2">
        <w:t>. T</w:t>
      </w:r>
      <w:r>
        <w:t xml:space="preserve">uttavia, </w:t>
      </w:r>
      <w:r w:rsidR="00E159AA">
        <w:t xml:space="preserve">in questo caso, viene meno quella tutela dell’ente che risulta </w:t>
      </w:r>
      <w:r w:rsidR="008C24A2">
        <w:t xml:space="preserve">viceversa </w:t>
      </w:r>
      <w:r w:rsidR="00E159AA">
        <w:t xml:space="preserve">garantita dallo svolgimento dell’attività </w:t>
      </w:r>
      <w:r w:rsidR="00672493">
        <w:t xml:space="preserve">svolta </w:t>
      </w:r>
      <w:r w:rsidR="00E159AA">
        <w:t>con la qualifica di Pubblico Ufficiale.</w:t>
      </w:r>
      <w:r w:rsidR="00F30830">
        <w:t xml:space="preserve"> Nell’ambito della gestione dell’entrata, gli uffici spesso adottano un giusto mix di attività, una parte da svolgere sicuramente con i </w:t>
      </w:r>
      <w:proofErr w:type="gramStart"/>
      <w:r w:rsidR="00F30830">
        <w:t>formalismi  del</w:t>
      </w:r>
      <w:proofErr w:type="gramEnd"/>
      <w:r w:rsidR="00F30830">
        <w:t xml:space="preserve"> verbale di accertamento, con tempi di lavorazione piuttosto impegnativi, mentre in diverse situazioni espletano le attività di rilevazione sul territorio utilizzando personale incaricato che, seppur non in veste di pubblico ufficiale può rilevare situazioni attratte nel presupposto applicativo del canone.</w:t>
      </w:r>
    </w:p>
    <w:p w14:paraId="44CDF9CB" w14:textId="249123C3" w:rsidR="00E159AA" w:rsidRDefault="00E159AA" w:rsidP="008F3983">
      <w:pPr>
        <w:jc w:val="both"/>
      </w:pPr>
      <w:r>
        <w:t xml:space="preserve">È quindi ancora possibile, così come avveniva con i precedenti prelievi, attivare le procedure legate alla fase di accertamento del canone senza </w:t>
      </w:r>
      <w:r w:rsidR="008C24A2">
        <w:t xml:space="preserve">un verbale redatto con la </w:t>
      </w:r>
      <w:r>
        <w:t>qualifica di pubblico ufficiale?</w:t>
      </w:r>
    </w:p>
    <w:p w14:paraId="094B42F9" w14:textId="7E1393AB" w:rsidR="00E159AA" w:rsidRDefault="00E159AA" w:rsidP="008F3983">
      <w:pPr>
        <w:jc w:val="both"/>
      </w:pPr>
      <w:r>
        <w:t xml:space="preserve">La risposta è </w:t>
      </w:r>
      <w:r w:rsidR="008C24A2">
        <w:t xml:space="preserve">senz’altro </w:t>
      </w:r>
      <w:r>
        <w:t xml:space="preserve">positiva. È possibile </w:t>
      </w:r>
      <w:r w:rsidR="00F30830">
        <w:t>oggi</w:t>
      </w:r>
      <w:r>
        <w:t xml:space="preserve"> accertare una violazione sulla base di un rilievo da parte di un soggetto incaricato, </w:t>
      </w:r>
      <w:r w:rsidR="00925DFE">
        <w:t xml:space="preserve">anche se sprovvisto del </w:t>
      </w:r>
      <w:r>
        <w:t xml:space="preserve">titolo di accertatore delle entrate, </w:t>
      </w:r>
      <w:r w:rsidR="00925DFE">
        <w:t>tuttavia questo comporta al</w:t>
      </w:r>
      <w:r>
        <w:t>cune importanti limitazioni</w:t>
      </w:r>
      <w:r w:rsidR="00925DFE">
        <w:t xml:space="preserve">, molto più evidenti con il nuovo regime del Canone Unico. </w:t>
      </w:r>
      <w:proofErr w:type="gramStart"/>
      <w:r w:rsidR="00925DFE">
        <w:t xml:space="preserve">Infatti, </w:t>
      </w:r>
      <w:r>
        <w:t xml:space="preserve"> la</w:t>
      </w:r>
      <w:proofErr w:type="gramEnd"/>
      <w:r>
        <w:t xml:space="preserve"> rilevazione effettuata senza i crismi del verbale di accertamento non consentirà di attivare la procedura di rimozione prevista dal comma 822, e in ottica processuale, si evidenzierà la problematica legata al valore del verbale, ponendo l’ufficio in posizione di </w:t>
      </w:r>
      <w:r w:rsidR="00925DFE">
        <w:t xml:space="preserve">palese </w:t>
      </w:r>
      <w:r>
        <w:t xml:space="preserve">difficoltà nel sostenere una richiesta di pagamento non supportata da verbale redatto da pubblico ufficiale. </w:t>
      </w:r>
    </w:p>
    <w:p w14:paraId="66F5328E" w14:textId="77777777" w:rsidR="004C6F67" w:rsidRPr="000B4830" w:rsidRDefault="004C6F67" w:rsidP="008F3983">
      <w:pPr>
        <w:jc w:val="both"/>
        <w:rPr>
          <w:b/>
          <w:bCs/>
        </w:rPr>
      </w:pPr>
    </w:p>
    <w:p w14:paraId="39755684" w14:textId="77777777" w:rsidR="00816CED" w:rsidRPr="000B4830" w:rsidRDefault="00816CED" w:rsidP="008F3983">
      <w:pPr>
        <w:autoSpaceDE w:val="0"/>
        <w:autoSpaceDN w:val="0"/>
        <w:adjustRightInd w:val="0"/>
        <w:spacing w:after="0" w:line="240" w:lineRule="auto"/>
        <w:jc w:val="both"/>
        <w:rPr>
          <w:i/>
          <w:iCs/>
        </w:rPr>
      </w:pPr>
    </w:p>
    <w:sectPr w:rsidR="00816CED" w:rsidRPr="000B483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sterStcc-Corsivo">
    <w:altName w:val="Calibri"/>
    <w:panose1 w:val="00000000000000000000"/>
    <w:charset w:val="00"/>
    <w:family w:val="swiss"/>
    <w:notTrueType/>
    <w:pitch w:val="default"/>
    <w:sig w:usb0="00000003" w:usb1="00000000" w:usb2="00000000" w:usb3="00000000" w:csb0="00000001" w:csb1="00000000"/>
  </w:font>
  <w:font w:name="AsterStcc-Tondo">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EF73C1"/>
    <w:multiLevelType w:val="hybridMultilevel"/>
    <w:tmpl w:val="05504184"/>
    <w:lvl w:ilvl="0" w:tplc="CF6ACD8A">
      <w:start w:val="1"/>
      <w:numFmt w:val="bullet"/>
      <w:lvlText w:val="•"/>
      <w:lvlJc w:val="left"/>
      <w:pPr>
        <w:tabs>
          <w:tab w:val="num" w:pos="720"/>
        </w:tabs>
        <w:ind w:left="720" w:hanging="360"/>
      </w:pPr>
      <w:rPr>
        <w:rFonts w:ascii="Arial" w:hAnsi="Arial" w:hint="default"/>
      </w:rPr>
    </w:lvl>
    <w:lvl w:ilvl="1" w:tplc="BFC0BE3E" w:tentative="1">
      <w:start w:val="1"/>
      <w:numFmt w:val="bullet"/>
      <w:lvlText w:val="•"/>
      <w:lvlJc w:val="left"/>
      <w:pPr>
        <w:tabs>
          <w:tab w:val="num" w:pos="1440"/>
        </w:tabs>
        <w:ind w:left="1440" w:hanging="360"/>
      </w:pPr>
      <w:rPr>
        <w:rFonts w:ascii="Arial" w:hAnsi="Arial" w:hint="default"/>
      </w:rPr>
    </w:lvl>
    <w:lvl w:ilvl="2" w:tplc="066E29B4" w:tentative="1">
      <w:start w:val="1"/>
      <w:numFmt w:val="bullet"/>
      <w:lvlText w:val="•"/>
      <w:lvlJc w:val="left"/>
      <w:pPr>
        <w:tabs>
          <w:tab w:val="num" w:pos="2160"/>
        </w:tabs>
        <w:ind w:left="2160" w:hanging="360"/>
      </w:pPr>
      <w:rPr>
        <w:rFonts w:ascii="Arial" w:hAnsi="Arial" w:hint="default"/>
      </w:rPr>
    </w:lvl>
    <w:lvl w:ilvl="3" w:tplc="6CA0A78E" w:tentative="1">
      <w:start w:val="1"/>
      <w:numFmt w:val="bullet"/>
      <w:lvlText w:val="•"/>
      <w:lvlJc w:val="left"/>
      <w:pPr>
        <w:tabs>
          <w:tab w:val="num" w:pos="2880"/>
        </w:tabs>
        <w:ind w:left="2880" w:hanging="360"/>
      </w:pPr>
      <w:rPr>
        <w:rFonts w:ascii="Arial" w:hAnsi="Arial" w:hint="default"/>
      </w:rPr>
    </w:lvl>
    <w:lvl w:ilvl="4" w:tplc="6EE0E99E" w:tentative="1">
      <w:start w:val="1"/>
      <w:numFmt w:val="bullet"/>
      <w:lvlText w:val="•"/>
      <w:lvlJc w:val="left"/>
      <w:pPr>
        <w:tabs>
          <w:tab w:val="num" w:pos="3600"/>
        </w:tabs>
        <w:ind w:left="3600" w:hanging="360"/>
      </w:pPr>
      <w:rPr>
        <w:rFonts w:ascii="Arial" w:hAnsi="Arial" w:hint="default"/>
      </w:rPr>
    </w:lvl>
    <w:lvl w:ilvl="5" w:tplc="074E8F1A" w:tentative="1">
      <w:start w:val="1"/>
      <w:numFmt w:val="bullet"/>
      <w:lvlText w:val="•"/>
      <w:lvlJc w:val="left"/>
      <w:pPr>
        <w:tabs>
          <w:tab w:val="num" w:pos="4320"/>
        </w:tabs>
        <w:ind w:left="4320" w:hanging="360"/>
      </w:pPr>
      <w:rPr>
        <w:rFonts w:ascii="Arial" w:hAnsi="Arial" w:hint="default"/>
      </w:rPr>
    </w:lvl>
    <w:lvl w:ilvl="6" w:tplc="7D1AAC90" w:tentative="1">
      <w:start w:val="1"/>
      <w:numFmt w:val="bullet"/>
      <w:lvlText w:val="•"/>
      <w:lvlJc w:val="left"/>
      <w:pPr>
        <w:tabs>
          <w:tab w:val="num" w:pos="5040"/>
        </w:tabs>
        <w:ind w:left="5040" w:hanging="360"/>
      </w:pPr>
      <w:rPr>
        <w:rFonts w:ascii="Arial" w:hAnsi="Arial" w:hint="default"/>
      </w:rPr>
    </w:lvl>
    <w:lvl w:ilvl="7" w:tplc="82162D0E" w:tentative="1">
      <w:start w:val="1"/>
      <w:numFmt w:val="bullet"/>
      <w:lvlText w:val="•"/>
      <w:lvlJc w:val="left"/>
      <w:pPr>
        <w:tabs>
          <w:tab w:val="num" w:pos="5760"/>
        </w:tabs>
        <w:ind w:left="5760" w:hanging="360"/>
      </w:pPr>
      <w:rPr>
        <w:rFonts w:ascii="Arial" w:hAnsi="Arial" w:hint="default"/>
      </w:rPr>
    </w:lvl>
    <w:lvl w:ilvl="8" w:tplc="BEC65662" w:tentative="1">
      <w:start w:val="1"/>
      <w:numFmt w:val="bullet"/>
      <w:lvlText w:val="•"/>
      <w:lvlJc w:val="left"/>
      <w:pPr>
        <w:tabs>
          <w:tab w:val="num" w:pos="6480"/>
        </w:tabs>
        <w:ind w:left="6480" w:hanging="360"/>
      </w:pPr>
      <w:rPr>
        <w:rFonts w:ascii="Arial" w:hAnsi="Arial" w:hint="default"/>
      </w:rPr>
    </w:lvl>
  </w:abstractNum>
  <w:num w:numId="1" w16cid:durableId="203256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150"/>
    <w:rsid w:val="0008755B"/>
    <w:rsid w:val="0009263A"/>
    <w:rsid w:val="000B4830"/>
    <w:rsid w:val="000B5A13"/>
    <w:rsid w:val="000C7DE1"/>
    <w:rsid w:val="000D1D10"/>
    <w:rsid w:val="001133D3"/>
    <w:rsid w:val="00122457"/>
    <w:rsid w:val="001279BA"/>
    <w:rsid w:val="0014050E"/>
    <w:rsid w:val="00147A7E"/>
    <w:rsid w:val="001633A7"/>
    <w:rsid w:val="001816F4"/>
    <w:rsid w:val="00235D06"/>
    <w:rsid w:val="002B57D5"/>
    <w:rsid w:val="003040C8"/>
    <w:rsid w:val="0034004D"/>
    <w:rsid w:val="003402EE"/>
    <w:rsid w:val="00392A97"/>
    <w:rsid w:val="003A072F"/>
    <w:rsid w:val="003A74C5"/>
    <w:rsid w:val="003E490E"/>
    <w:rsid w:val="003E7662"/>
    <w:rsid w:val="00417736"/>
    <w:rsid w:val="004251FD"/>
    <w:rsid w:val="00425E29"/>
    <w:rsid w:val="0042794A"/>
    <w:rsid w:val="00453E28"/>
    <w:rsid w:val="00464C00"/>
    <w:rsid w:val="0047758B"/>
    <w:rsid w:val="004B25F9"/>
    <w:rsid w:val="004C4C6B"/>
    <w:rsid w:val="004C6F67"/>
    <w:rsid w:val="004E1850"/>
    <w:rsid w:val="00517F53"/>
    <w:rsid w:val="00556DC4"/>
    <w:rsid w:val="00572497"/>
    <w:rsid w:val="005F1E3F"/>
    <w:rsid w:val="00605CD0"/>
    <w:rsid w:val="00672493"/>
    <w:rsid w:val="0069750E"/>
    <w:rsid w:val="006C5269"/>
    <w:rsid w:val="006D0F42"/>
    <w:rsid w:val="00725150"/>
    <w:rsid w:val="00732C68"/>
    <w:rsid w:val="00735CFB"/>
    <w:rsid w:val="00792B10"/>
    <w:rsid w:val="007D30CE"/>
    <w:rsid w:val="00811432"/>
    <w:rsid w:val="00816CED"/>
    <w:rsid w:val="00841D37"/>
    <w:rsid w:val="008523BF"/>
    <w:rsid w:val="008755DE"/>
    <w:rsid w:val="008C24A2"/>
    <w:rsid w:val="008D37C4"/>
    <w:rsid w:val="008F3983"/>
    <w:rsid w:val="0091302E"/>
    <w:rsid w:val="00925DFE"/>
    <w:rsid w:val="00972070"/>
    <w:rsid w:val="009F022D"/>
    <w:rsid w:val="00A41F97"/>
    <w:rsid w:val="00A514A7"/>
    <w:rsid w:val="00A61759"/>
    <w:rsid w:val="00A86B90"/>
    <w:rsid w:val="00AA1DF7"/>
    <w:rsid w:val="00AE109B"/>
    <w:rsid w:val="00B029CB"/>
    <w:rsid w:val="00B367A8"/>
    <w:rsid w:val="00B37073"/>
    <w:rsid w:val="00B50584"/>
    <w:rsid w:val="00BC20E5"/>
    <w:rsid w:val="00BE5D0E"/>
    <w:rsid w:val="00C01D52"/>
    <w:rsid w:val="00C055E1"/>
    <w:rsid w:val="00C30203"/>
    <w:rsid w:val="00C319F7"/>
    <w:rsid w:val="00C95F7E"/>
    <w:rsid w:val="00CA29DB"/>
    <w:rsid w:val="00CB1F8D"/>
    <w:rsid w:val="00CB309A"/>
    <w:rsid w:val="00CC41A9"/>
    <w:rsid w:val="00CF20F0"/>
    <w:rsid w:val="00D52997"/>
    <w:rsid w:val="00D639E3"/>
    <w:rsid w:val="00D741AA"/>
    <w:rsid w:val="00DF5AC1"/>
    <w:rsid w:val="00DF7890"/>
    <w:rsid w:val="00E159AA"/>
    <w:rsid w:val="00EA22E3"/>
    <w:rsid w:val="00EF0E65"/>
    <w:rsid w:val="00EF4EE2"/>
    <w:rsid w:val="00F248F0"/>
    <w:rsid w:val="00F30830"/>
    <w:rsid w:val="00F67019"/>
    <w:rsid w:val="00F9620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3C90F"/>
  <w15:chartTrackingRefBased/>
  <w15:docId w15:val="{0FCF12B0-767A-419C-8BE0-D78F7C0E4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1816F4"/>
    <w:pPr>
      <w:spacing w:after="0" w:line="240" w:lineRule="auto"/>
      <w:ind w:left="720"/>
      <w:contextualSpacing/>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52857">
      <w:bodyDiv w:val="1"/>
      <w:marLeft w:val="0"/>
      <w:marRight w:val="0"/>
      <w:marTop w:val="0"/>
      <w:marBottom w:val="0"/>
      <w:divBdr>
        <w:top w:val="none" w:sz="0" w:space="0" w:color="auto"/>
        <w:left w:val="none" w:sz="0" w:space="0" w:color="auto"/>
        <w:bottom w:val="none" w:sz="0" w:space="0" w:color="auto"/>
        <w:right w:val="none" w:sz="0" w:space="0" w:color="auto"/>
      </w:divBdr>
      <w:divsChild>
        <w:div w:id="2037584093">
          <w:marLeft w:val="547"/>
          <w:marRight w:val="0"/>
          <w:marTop w:val="120"/>
          <w:marBottom w:val="0"/>
          <w:divBdr>
            <w:top w:val="none" w:sz="0" w:space="0" w:color="auto"/>
            <w:left w:val="none" w:sz="0" w:space="0" w:color="auto"/>
            <w:bottom w:val="none" w:sz="0" w:space="0" w:color="auto"/>
            <w:right w:val="none" w:sz="0" w:space="0" w:color="auto"/>
          </w:divBdr>
        </w:div>
      </w:divsChild>
    </w:div>
    <w:div w:id="80104167">
      <w:bodyDiv w:val="1"/>
      <w:marLeft w:val="0"/>
      <w:marRight w:val="0"/>
      <w:marTop w:val="0"/>
      <w:marBottom w:val="0"/>
      <w:divBdr>
        <w:top w:val="none" w:sz="0" w:space="0" w:color="auto"/>
        <w:left w:val="none" w:sz="0" w:space="0" w:color="auto"/>
        <w:bottom w:val="none" w:sz="0" w:space="0" w:color="auto"/>
        <w:right w:val="none" w:sz="0" w:space="0" w:color="auto"/>
      </w:divBdr>
    </w:div>
    <w:div w:id="81879149">
      <w:bodyDiv w:val="1"/>
      <w:marLeft w:val="0"/>
      <w:marRight w:val="0"/>
      <w:marTop w:val="0"/>
      <w:marBottom w:val="0"/>
      <w:divBdr>
        <w:top w:val="none" w:sz="0" w:space="0" w:color="auto"/>
        <w:left w:val="none" w:sz="0" w:space="0" w:color="auto"/>
        <w:bottom w:val="none" w:sz="0" w:space="0" w:color="auto"/>
        <w:right w:val="none" w:sz="0" w:space="0" w:color="auto"/>
      </w:divBdr>
    </w:div>
    <w:div w:id="215894782">
      <w:bodyDiv w:val="1"/>
      <w:marLeft w:val="0"/>
      <w:marRight w:val="0"/>
      <w:marTop w:val="0"/>
      <w:marBottom w:val="0"/>
      <w:divBdr>
        <w:top w:val="none" w:sz="0" w:space="0" w:color="auto"/>
        <w:left w:val="none" w:sz="0" w:space="0" w:color="auto"/>
        <w:bottom w:val="none" w:sz="0" w:space="0" w:color="auto"/>
        <w:right w:val="none" w:sz="0" w:space="0" w:color="auto"/>
      </w:divBdr>
      <w:divsChild>
        <w:div w:id="1953126653">
          <w:marLeft w:val="547"/>
          <w:marRight w:val="0"/>
          <w:marTop w:val="96"/>
          <w:marBottom w:val="0"/>
          <w:divBdr>
            <w:top w:val="none" w:sz="0" w:space="0" w:color="auto"/>
            <w:left w:val="none" w:sz="0" w:space="0" w:color="auto"/>
            <w:bottom w:val="none" w:sz="0" w:space="0" w:color="auto"/>
            <w:right w:val="none" w:sz="0" w:space="0" w:color="auto"/>
          </w:divBdr>
        </w:div>
      </w:divsChild>
    </w:div>
    <w:div w:id="291131858">
      <w:bodyDiv w:val="1"/>
      <w:marLeft w:val="0"/>
      <w:marRight w:val="0"/>
      <w:marTop w:val="0"/>
      <w:marBottom w:val="0"/>
      <w:divBdr>
        <w:top w:val="none" w:sz="0" w:space="0" w:color="auto"/>
        <w:left w:val="none" w:sz="0" w:space="0" w:color="auto"/>
        <w:bottom w:val="none" w:sz="0" w:space="0" w:color="auto"/>
        <w:right w:val="none" w:sz="0" w:space="0" w:color="auto"/>
      </w:divBdr>
    </w:div>
    <w:div w:id="700663967">
      <w:bodyDiv w:val="1"/>
      <w:marLeft w:val="0"/>
      <w:marRight w:val="0"/>
      <w:marTop w:val="0"/>
      <w:marBottom w:val="0"/>
      <w:divBdr>
        <w:top w:val="none" w:sz="0" w:space="0" w:color="auto"/>
        <w:left w:val="none" w:sz="0" w:space="0" w:color="auto"/>
        <w:bottom w:val="none" w:sz="0" w:space="0" w:color="auto"/>
        <w:right w:val="none" w:sz="0" w:space="0" w:color="auto"/>
      </w:divBdr>
    </w:div>
    <w:div w:id="920868485">
      <w:bodyDiv w:val="1"/>
      <w:marLeft w:val="0"/>
      <w:marRight w:val="0"/>
      <w:marTop w:val="0"/>
      <w:marBottom w:val="0"/>
      <w:divBdr>
        <w:top w:val="none" w:sz="0" w:space="0" w:color="auto"/>
        <w:left w:val="none" w:sz="0" w:space="0" w:color="auto"/>
        <w:bottom w:val="none" w:sz="0" w:space="0" w:color="auto"/>
        <w:right w:val="none" w:sz="0" w:space="0" w:color="auto"/>
      </w:divBdr>
      <w:divsChild>
        <w:div w:id="589506267">
          <w:marLeft w:val="547"/>
          <w:marRight w:val="0"/>
          <w:marTop w:val="106"/>
          <w:marBottom w:val="0"/>
          <w:divBdr>
            <w:top w:val="none" w:sz="0" w:space="0" w:color="auto"/>
            <w:left w:val="none" w:sz="0" w:space="0" w:color="auto"/>
            <w:bottom w:val="none" w:sz="0" w:space="0" w:color="auto"/>
            <w:right w:val="none" w:sz="0" w:space="0" w:color="auto"/>
          </w:divBdr>
        </w:div>
      </w:divsChild>
    </w:div>
    <w:div w:id="976376706">
      <w:bodyDiv w:val="1"/>
      <w:marLeft w:val="0"/>
      <w:marRight w:val="0"/>
      <w:marTop w:val="0"/>
      <w:marBottom w:val="0"/>
      <w:divBdr>
        <w:top w:val="none" w:sz="0" w:space="0" w:color="auto"/>
        <w:left w:val="none" w:sz="0" w:space="0" w:color="auto"/>
        <w:bottom w:val="none" w:sz="0" w:space="0" w:color="auto"/>
        <w:right w:val="none" w:sz="0" w:space="0" w:color="auto"/>
      </w:divBdr>
      <w:divsChild>
        <w:div w:id="1786263761">
          <w:marLeft w:val="547"/>
          <w:marRight w:val="0"/>
          <w:marTop w:val="96"/>
          <w:marBottom w:val="0"/>
          <w:divBdr>
            <w:top w:val="none" w:sz="0" w:space="0" w:color="auto"/>
            <w:left w:val="none" w:sz="0" w:space="0" w:color="auto"/>
            <w:bottom w:val="none" w:sz="0" w:space="0" w:color="auto"/>
            <w:right w:val="none" w:sz="0" w:space="0" w:color="auto"/>
          </w:divBdr>
        </w:div>
      </w:divsChild>
    </w:div>
    <w:div w:id="1282493912">
      <w:bodyDiv w:val="1"/>
      <w:marLeft w:val="0"/>
      <w:marRight w:val="0"/>
      <w:marTop w:val="0"/>
      <w:marBottom w:val="0"/>
      <w:divBdr>
        <w:top w:val="none" w:sz="0" w:space="0" w:color="auto"/>
        <w:left w:val="none" w:sz="0" w:space="0" w:color="auto"/>
        <w:bottom w:val="none" w:sz="0" w:space="0" w:color="auto"/>
        <w:right w:val="none" w:sz="0" w:space="0" w:color="auto"/>
      </w:divBdr>
      <w:divsChild>
        <w:div w:id="1279723753">
          <w:marLeft w:val="547"/>
          <w:marRight w:val="0"/>
          <w:marTop w:val="106"/>
          <w:marBottom w:val="0"/>
          <w:divBdr>
            <w:top w:val="none" w:sz="0" w:space="0" w:color="auto"/>
            <w:left w:val="none" w:sz="0" w:space="0" w:color="auto"/>
            <w:bottom w:val="none" w:sz="0" w:space="0" w:color="auto"/>
            <w:right w:val="none" w:sz="0" w:space="0" w:color="auto"/>
          </w:divBdr>
        </w:div>
      </w:divsChild>
    </w:div>
    <w:div w:id="1400249147">
      <w:bodyDiv w:val="1"/>
      <w:marLeft w:val="0"/>
      <w:marRight w:val="0"/>
      <w:marTop w:val="0"/>
      <w:marBottom w:val="0"/>
      <w:divBdr>
        <w:top w:val="none" w:sz="0" w:space="0" w:color="auto"/>
        <w:left w:val="none" w:sz="0" w:space="0" w:color="auto"/>
        <w:bottom w:val="none" w:sz="0" w:space="0" w:color="auto"/>
        <w:right w:val="none" w:sz="0" w:space="0" w:color="auto"/>
      </w:divBdr>
      <w:divsChild>
        <w:div w:id="1141731121">
          <w:marLeft w:val="547"/>
          <w:marRight w:val="0"/>
          <w:marTop w:val="96"/>
          <w:marBottom w:val="0"/>
          <w:divBdr>
            <w:top w:val="none" w:sz="0" w:space="0" w:color="auto"/>
            <w:left w:val="none" w:sz="0" w:space="0" w:color="auto"/>
            <w:bottom w:val="none" w:sz="0" w:space="0" w:color="auto"/>
            <w:right w:val="none" w:sz="0" w:space="0" w:color="auto"/>
          </w:divBdr>
        </w:div>
      </w:divsChild>
    </w:div>
    <w:div w:id="1763910125">
      <w:bodyDiv w:val="1"/>
      <w:marLeft w:val="0"/>
      <w:marRight w:val="0"/>
      <w:marTop w:val="0"/>
      <w:marBottom w:val="0"/>
      <w:divBdr>
        <w:top w:val="none" w:sz="0" w:space="0" w:color="auto"/>
        <w:left w:val="none" w:sz="0" w:space="0" w:color="auto"/>
        <w:bottom w:val="none" w:sz="0" w:space="0" w:color="auto"/>
        <w:right w:val="none" w:sz="0" w:space="0" w:color="auto"/>
      </w:divBdr>
      <w:divsChild>
        <w:div w:id="1230001236">
          <w:marLeft w:val="547"/>
          <w:marRight w:val="0"/>
          <w:marTop w:val="96"/>
          <w:marBottom w:val="0"/>
          <w:divBdr>
            <w:top w:val="none" w:sz="0" w:space="0" w:color="auto"/>
            <w:left w:val="none" w:sz="0" w:space="0" w:color="auto"/>
            <w:bottom w:val="none" w:sz="0" w:space="0" w:color="auto"/>
            <w:right w:val="none" w:sz="0" w:space="0" w:color="auto"/>
          </w:divBdr>
        </w:div>
        <w:div w:id="1706494">
          <w:marLeft w:val="547"/>
          <w:marRight w:val="0"/>
          <w:marTop w:val="96"/>
          <w:marBottom w:val="0"/>
          <w:divBdr>
            <w:top w:val="none" w:sz="0" w:space="0" w:color="auto"/>
            <w:left w:val="none" w:sz="0" w:space="0" w:color="auto"/>
            <w:bottom w:val="none" w:sz="0" w:space="0" w:color="auto"/>
            <w:right w:val="none" w:sz="0" w:space="0" w:color="auto"/>
          </w:divBdr>
        </w:div>
      </w:divsChild>
    </w:div>
    <w:div w:id="2092189738">
      <w:bodyDiv w:val="1"/>
      <w:marLeft w:val="0"/>
      <w:marRight w:val="0"/>
      <w:marTop w:val="0"/>
      <w:marBottom w:val="0"/>
      <w:divBdr>
        <w:top w:val="none" w:sz="0" w:space="0" w:color="auto"/>
        <w:left w:val="none" w:sz="0" w:space="0" w:color="auto"/>
        <w:bottom w:val="none" w:sz="0" w:space="0" w:color="auto"/>
        <w:right w:val="none" w:sz="0" w:space="0" w:color="auto"/>
      </w:divBdr>
    </w:div>
    <w:div w:id="2130391892">
      <w:bodyDiv w:val="1"/>
      <w:marLeft w:val="0"/>
      <w:marRight w:val="0"/>
      <w:marTop w:val="0"/>
      <w:marBottom w:val="0"/>
      <w:divBdr>
        <w:top w:val="none" w:sz="0" w:space="0" w:color="auto"/>
        <w:left w:val="none" w:sz="0" w:space="0" w:color="auto"/>
        <w:bottom w:val="none" w:sz="0" w:space="0" w:color="auto"/>
        <w:right w:val="none" w:sz="0" w:space="0" w:color="auto"/>
      </w:divBdr>
      <w:divsChild>
        <w:div w:id="194580764">
          <w:marLeft w:val="547"/>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1431</TotalTime>
  <Pages>3</Pages>
  <Words>1838</Words>
  <Characters>10482</Characters>
  <Application>Microsoft Office Word</Application>
  <DocSecurity>0</DocSecurity>
  <Lines>87</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51</cp:revision>
  <dcterms:created xsi:type="dcterms:W3CDTF">2023-02-15T08:15:00Z</dcterms:created>
  <dcterms:modified xsi:type="dcterms:W3CDTF">2023-03-24T14:53:00Z</dcterms:modified>
</cp:coreProperties>
</file>