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0046C" w14:textId="3738A0E2" w:rsidR="0027043D" w:rsidRDefault="0027043D" w:rsidP="006D7555">
      <w:pPr>
        <w:jc w:val="both"/>
      </w:pPr>
      <w:r>
        <w:t xml:space="preserve">Titolo: </w:t>
      </w:r>
      <w:r w:rsidR="009024AF">
        <w:t>I</w:t>
      </w:r>
      <w:r>
        <w:t xml:space="preserve">l TAR del Lazio </w:t>
      </w:r>
      <w:r w:rsidR="00E41001">
        <w:t>conferma</w:t>
      </w:r>
      <w:r w:rsidR="009024AF">
        <w:t xml:space="preserve"> le tariffe adottate dal Comune</w:t>
      </w:r>
      <w:r w:rsidR="00E41001">
        <w:t>: è onere del ricorrente provarne l’illegittimità</w:t>
      </w:r>
    </w:p>
    <w:p w14:paraId="3CC3BD1C" w14:textId="77777777" w:rsidR="0027043D" w:rsidRDefault="0027043D" w:rsidP="006D7555">
      <w:pPr>
        <w:jc w:val="both"/>
      </w:pPr>
      <w:r>
        <w:t>Di Alessandro Merciari</w:t>
      </w:r>
    </w:p>
    <w:p w14:paraId="640AAE41" w14:textId="324A76BD" w:rsidR="000E136F" w:rsidRDefault="0027043D" w:rsidP="006D7555">
      <w:pPr>
        <w:jc w:val="both"/>
      </w:pPr>
      <w:r>
        <w:t xml:space="preserve">È stata pubblicata il 5 novembre </w:t>
      </w:r>
      <w:r w:rsidR="00E41001">
        <w:t>la</w:t>
      </w:r>
      <w:r>
        <w:t xml:space="preserve"> sentenza </w:t>
      </w:r>
      <w:r w:rsidR="00E41001">
        <w:t>numero 19</w:t>
      </w:r>
      <w:r w:rsidR="002A1E0D">
        <w:t xml:space="preserve">520/2025 </w:t>
      </w:r>
      <w:r w:rsidR="00E41001">
        <w:t>del TAR</w:t>
      </w:r>
      <w:r>
        <w:t xml:space="preserve"> Lazio </w:t>
      </w:r>
      <w:r w:rsidR="009024AF">
        <w:t xml:space="preserve">pronunciata </w:t>
      </w:r>
      <w:r>
        <w:t>in relazione ad un r</w:t>
      </w:r>
      <w:r w:rsidR="006D7555">
        <w:t xml:space="preserve">icorso </w:t>
      </w:r>
      <w:r>
        <w:t xml:space="preserve">presentato </w:t>
      </w:r>
      <w:r w:rsidR="006D7555">
        <w:t xml:space="preserve">contro la comunicazione con la quale Roma Capitale ha </w:t>
      </w:r>
      <w:r>
        <w:t>richiesto</w:t>
      </w:r>
      <w:r w:rsidR="006D7555">
        <w:t xml:space="preserve"> </w:t>
      </w:r>
      <w:r>
        <w:t xml:space="preserve">il pagamento del CUP </w:t>
      </w:r>
      <w:r w:rsidR="00102222">
        <w:t xml:space="preserve">a carico </w:t>
      </w:r>
      <w:r w:rsidR="002A1E0D">
        <w:t>di una</w:t>
      </w:r>
      <w:r w:rsidR="00102222">
        <w:t xml:space="preserve"> società che aveva presentato istanza </w:t>
      </w:r>
      <w:r w:rsidR="006D7555">
        <w:t xml:space="preserve">per ottenere l’autorizzazione </w:t>
      </w:r>
      <w:r w:rsidR="00102222">
        <w:t>al</w:t>
      </w:r>
      <w:r w:rsidR="006D7555">
        <w:t xml:space="preserve">l’installazione di </w:t>
      </w:r>
      <w:r w:rsidR="009024AF">
        <w:t xml:space="preserve">una </w:t>
      </w:r>
      <w:r w:rsidR="006D7555">
        <w:t>pubblicità provvisoria su ponteggi</w:t>
      </w:r>
      <w:r>
        <w:t xml:space="preserve">. Canone </w:t>
      </w:r>
      <w:r w:rsidR="00102222">
        <w:t>da</w:t>
      </w:r>
      <w:r w:rsidR="006D7555">
        <w:t xml:space="preserve"> versare</w:t>
      </w:r>
      <w:r>
        <w:t xml:space="preserve"> sulla base di un i</w:t>
      </w:r>
      <w:r w:rsidR="006D7555">
        <w:t xml:space="preserve">mporto calcolato secondo la </w:t>
      </w:r>
      <w:r w:rsidR="002A1E0D">
        <w:t>t</w:t>
      </w:r>
      <w:r w:rsidR="006D7555">
        <w:t xml:space="preserve">ariffa </w:t>
      </w:r>
      <w:r>
        <w:t>giornaliera adottata</w:t>
      </w:r>
      <w:r w:rsidR="002A1E0D">
        <w:t>,</w:t>
      </w:r>
      <w:r>
        <w:t xml:space="preserve"> </w:t>
      </w:r>
      <w:r w:rsidR="00102222">
        <w:t xml:space="preserve">e </w:t>
      </w:r>
      <w:r w:rsidR="006D7555">
        <w:t xml:space="preserve">aggiornata </w:t>
      </w:r>
      <w:r w:rsidR="002A1E0D">
        <w:t>dopo la</w:t>
      </w:r>
      <w:r w:rsidR="00102222">
        <w:t xml:space="preserve"> prima introduzione</w:t>
      </w:r>
      <w:r w:rsidR="002A1E0D">
        <w:t>,</w:t>
      </w:r>
      <w:r w:rsidR="00102222">
        <w:t xml:space="preserve"> con</w:t>
      </w:r>
      <w:r w:rsidR="006D7555">
        <w:t xml:space="preserve"> due Delibere di Giunta Comunale.</w:t>
      </w:r>
    </w:p>
    <w:p w14:paraId="53793F58" w14:textId="07560049" w:rsidR="00FA5FF7" w:rsidRDefault="00FA5FF7" w:rsidP="00FA5FF7">
      <w:pPr>
        <w:jc w:val="both"/>
      </w:pPr>
      <w:r>
        <w:t xml:space="preserve">Parte ricorrente </w:t>
      </w:r>
      <w:r w:rsidR="00102222">
        <w:t xml:space="preserve">tra le diverse doglianze </w:t>
      </w:r>
      <w:r>
        <w:t>chiede l’annullamento di tali determinazioni dolendosi dell’irragionevole ed eccessiva esosità del CUP richiesto dall’amministrazione comunale per tre maxi affissioni temporanee, in ragione di una pretesa tariffa giornaliera molto più alta rispetto</w:t>
      </w:r>
      <w:r w:rsidR="00B345D9">
        <w:t xml:space="preserve"> </w:t>
      </w:r>
      <w:r>
        <w:t>a quella annuale.</w:t>
      </w:r>
    </w:p>
    <w:p w14:paraId="11E49599" w14:textId="10D7D247" w:rsidR="00B345D9" w:rsidRDefault="00102222" w:rsidP="00B345D9">
      <w:pPr>
        <w:jc w:val="both"/>
      </w:pPr>
      <w:r>
        <w:t xml:space="preserve">Di contro </w:t>
      </w:r>
      <w:r w:rsidR="00B345D9">
        <w:t xml:space="preserve">l’Avvocatura Capitolina </w:t>
      </w:r>
      <w:r w:rsidR="00121318">
        <w:t>ha sostenuto</w:t>
      </w:r>
      <w:r w:rsidR="00B345D9">
        <w:t xml:space="preserve"> come </w:t>
      </w:r>
      <w:r>
        <w:t>il meccanismo di calcolo si sia conformato su quanto disposto dal</w:t>
      </w:r>
      <w:r w:rsidR="00B345D9">
        <w:t xml:space="preserve">l’art. 1, commi 826 e 827, della legge n. 160/2019 </w:t>
      </w:r>
      <w:proofErr w:type="gramStart"/>
      <w:r>
        <w:t xml:space="preserve">prevedendo </w:t>
      </w:r>
      <w:r w:rsidR="00B345D9">
        <w:t xml:space="preserve"> “</w:t>
      </w:r>
      <w:proofErr w:type="gramEnd"/>
      <w:r w:rsidR="00B345D9">
        <w:t>nell’ambito dei Comuni con oltre 500.000 abitanti” tra i quali rientra Roma Capitale, l’introduzione con decorrenza dal 1° gennaio 2021 di due tariffe CUP standard “base”, con importo differenziato su base annua e giornaliera, rispettivamente pari a euro 70,00 ed euro 2,00 al mq</w:t>
      </w:r>
      <w:r>
        <w:t>. Il Comune</w:t>
      </w:r>
      <w:r w:rsidR="00B345D9">
        <w:t xml:space="preserve"> </w:t>
      </w:r>
      <w:r w:rsidR="00121318">
        <w:t>avrebbe</w:t>
      </w:r>
      <w:r w:rsidR="00B345D9">
        <w:t xml:space="preserve"> determinato le</w:t>
      </w:r>
      <w:r>
        <w:t xml:space="preserve"> proprie</w:t>
      </w:r>
      <w:r w:rsidR="00B345D9">
        <w:t xml:space="preserve"> tariffe CUP fissando sia la tariffa giornaliera che quella annuale “partendo” da quella base stabilita dal legislatore.</w:t>
      </w:r>
    </w:p>
    <w:p w14:paraId="07FB7C7D" w14:textId="42AAB307" w:rsidR="004C102F" w:rsidRDefault="00102222" w:rsidP="00B345D9">
      <w:pPr>
        <w:jc w:val="both"/>
      </w:pPr>
      <w:r>
        <w:t xml:space="preserve">La ricorrente lamenta anche il </w:t>
      </w:r>
      <w:r w:rsidR="004C102F" w:rsidRPr="004C102F">
        <w:t>difetto di istruttoria</w:t>
      </w:r>
      <w:r>
        <w:t xml:space="preserve"> del Comune</w:t>
      </w:r>
      <w:r w:rsidR="004C102F" w:rsidRPr="004C102F">
        <w:t xml:space="preserve"> in merito all’applicazione del principio</w:t>
      </w:r>
      <w:r w:rsidR="004C102F">
        <w:t xml:space="preserve"> </w:t>
      </w:r>
      <w:r w:rsidR="004C102F" w:rsidRPr="004C102F">
        <w:t xml:space="preserve">di invarianza di gettito, previsto all’art. 1, comma </w:t>
      </w:r>
      <w:r w:rsidR="004C102F">
        <w:t>8</w:t>
      </w:r>
      <w:r w:rsidR="004C102F" w:rsidRPr="004C102F">
        <w:t>17, della l. n. 160/2019</w:t>
      </w:r>
      <w:r w:rsidR="004C102F">
        <w:t xml:space="preserve"> </w:t>
      </w:r>
      <w:r w:rsidR="004C102F" w:rsidRPr="004C102F">
        <w:t>istitutiva del CUP</w:t>
      </w:r>
      <w:r>
        <w:t>. Doglianza respinta dai giudici che hanno</w:t>
      </w:r>
      <w:r w:rsidR="004C102F" w:rsidRPr="004C102F">
        <w:t xml:space="preserve"> osservando come le deliberazioni</w:t>
      </w:r>
      <w:r w:rsidR="004C102F">
        <w:t xml:space="preserve"> tariffarie </w:t>
      </w:r>
      <w:r w:rsidR="004C102F" w:rsidRPr="004C102F">
        <w:t>appaiano assistite da un adeguato supporto motivazionale in grado di dare</w:t>
      </w:r>
      <w:r w:rsidR="004C102F">
        <w:t xml:space="preserve"> </w:t>
      </w:r>
      <w:r w:rsidR="004C102F" w:rsidRPr="004C102F">
        <w:t>evidenza dei criteri e dei calcoli eseguiti dall’amministrazione comunale ai fini</w:t>
      </w:r>
      <w:r w:rsidR="004C102F">
        <w:t xml:space="preserve">   </w:t>
      </w:r>
      <w:r w:rsidR="004C102F" w:rsidRPr="004C102F">
        <w:t>della determinazione del gettito da “</w:t>
      </w:r>
      <w:r w:rsidR="004C102F" w:rsidRPr="004C102F">
        <w:rPr>
          <w:i/>
          <w:iCs/>
        </w:rPr>
        <w:t>garantire</w:t>
      </w:r>
      <w:r w:rsidR="004C102F" w:rsidRPr="004C102F">
        <w:t>” ai sensi dell’art. 1, comma 817,</w:t>
      </w:r>
      <w:r w:rsidR="00121318">
        <w:t xml:space="preserve"> </w:t>
      </w:r>
      <w:r w:rsidR="004C102F" w:rsidRPr="004C102F">
        <w:t>della l.</w:t>
      </w:r>
      <w:r w:rsidR="004C102F">
        <w:t xml:space="preserve"> </w:t>
      </w:r>
      <w:r w:rsidR="004C102F" w:rsidRPr="004C102F">
        <w:t>n. 160/2019 e, quindi, delle tariffe di cui si discorre.</w:t>
      </w:r>
    </w:p>
    <w:p w14:paraId="048310F5" w14:textId="2740420C" w:rsidR="003A6D10" w:rsidRPr="003A6D10" w:rsidRDefault="00102222" w:rsidP="003A6D10">
      <w:pPr>
        <w:jc w:val="both"/>
      </w:pPr>
      <w:r>
        <w:t>L</w:t>
      </w:r>
      <w:r w:rsidR="003A6D10" w:rsidRPr="003A6D10">
        <w:t xml:space="preserve">a questione sottoposta al Collegio </w:t>
      </w:r>
      <w:r w:rsidR="004E3EB9">
        <w:t>era</w:t>
      </w:r>
      <w:r w:rsidR="003A6D10" w:rsidRPr="003A6D10">
        <w:t xml:space="preserve"> stata </w:t>
      </w:r>
      <w:r w:rsidR="003A6D10">
        <w:t xml:space="preserve">già </w:t>
      </w:r>
      <w:r w:rsidR="003A6D10" w:rsidRPr="003A6D10">
        <w:t>affrontata dalla Sezione</w:t>
      </w:r>
      <w:r w:rsidR="003A6D10">
        <w:t xml:space="preserve"> </w:t>
      </w:r>
      <w:r w:rsidR="003A6D10" w:rsidRPr="003A6D10">
        <w:t xml:space="preserve">nella sentenza n.19124/2024  ove si </w:t>
      </w:r>
      <w:r>
        <w:t>era</w:t>
      </w:r>
      <w:r w:rsidR="003A6D10">
        <w:t xml:space="preserve"> </w:t>
      </w:r>
      <w:r w:rsidR="003A6D10" w:rsidRPr="003A6D10">
        <w:t>ritenuto di dover optare per un’interpretazione costituzionalmente orientata</w:t>
      </w:r>
      <w:r w:rsidR="00736E95">
        <w:t xml:space="preserve"> </w:t>
      </w:r>
      <w:r w:rsidR="003A6D10" w:rsidRPr="003A6D10">
        <w:t>dell’art.1, comma 817, della l. n. 160/2019, improntata al rispetto del principio</w:t>
      </w:r>
      <w:r w:rsidR="003A6D10">
        <w:t xml:space="preserve"> </w:t>
      </w:r>
      <w:r w:rsidR="003A6D10" w:rsidRPr="003A6D10">
        <w:t>di riserva di legge di cui all’art. 23 della Costituzione, ritendo che l’inciso</w:t>
      </w:r>
      <w:r w:rsidR="003A6D10">
        <w:t xml:space="preserve"> </w:t>
      </w:r>
      <w:r w:rsidR="003A6D10" w:rsidRPr="003A6D10">
        <w:t>secondo cui “</w:t>
      </w:r>
      <w:r w:rsidR="003A6D10" w:rsidRPr="003A6D10">
        <w:rPr>
          <w:i/>
          <w:iCs/>
        </w:rPr>
        <w:t xml:space="preserve">Il </w:t>
      </w:r>
      <w:r w:rsidR="003A6D10" w:rsidRPr="003A6D10">
        <w:t xml:space="preserve">canone </w:t>
      </w:r>
      <w:r w:rsidR="003A6D10" w:rsidRPr="003A6D10">
        <w:rPr>
          <w:i/>
          <w:iCs/>
        </w:rPr>
        <w:t>è disciplinato dagli enti in modo da assicurare un gettito pari a</w:t>
      </w:r>
      <w:r w:rsidR="003A6D10">
        <w:rPr>
          <w:i/>
          <w:iCs/>
        </w:rPr>
        <w:t xml:space="preserve"> </w:t>
      </w:r>
      <w:r w:rsidR="003A6D10" w:rsidRPr="003A6D10">
        <w:rPr>
          <w:i/>
          <w:iCs/>
        </w:rPr>
        <w:t xml:space="preserve">quello conseguito dai canoni e dai tributi che sono sostituiti dal </w:t>
      </w:r>
      <w:r w:rsidR="003A6D10" w:rsidRPr="003A6D10">
        <w:t>canone” dovrebbe essere</w:t>
      </w:r>
      <w:r w:rsidR="003A6D10">
        <w:t xml:space="preserve"> </w:t>
      </w:r>
      <w:r w:rsidR="003A6D10" w:rsidRPr="003A6D10">
        <w:t>interpretato quale “</w:t>
      </w:r>
      <w:r w:rsidR="003A6D10" w:rsidRPr="003A6D10">
        <w:rPr>
          <w:i/>
          <w:iCs/>
        </w:rPr>
        <w:t>cornice massimale entro cui determinare le tariffe</w:t>
      </w:r>
      <w:r w:rsidR="003A6D10" w:rsidRPr="003A6D10">
        <w:t>”, ossia come</w:t>
      </w:r>
      <w:r w:rsidR="003A6D10">
        <w:t xml:space="preserve"> </w:t>
      </w:r>
      <w:r w:rsidR="003A6D10" w:rsidRPr="003A6D10">
        <w:t>volume complessivo di gettito da non superare, quest’ultimo inteso in</w:t>
      </w:r>
      <w:r w:rsidR="003A6D10">
        <w:t xml:space="preserve"> </w:t>
      </w:r>
      <w:r w:rsidR="003A6D10" w:rsidRPr="003A6D10">
        <w:t>relazione al delle singole tariffe.</w:t>
      </w:r>
    </w:p>
    <w:p w14:paraId="4EFF5E75" w14:textId="7289D871" w:rsidR="004C102F" w:rsidRDefault="00AE1E7A" w:rsidP="003A6D10">
      <w:pPr>
        <w:jc w:val="both"/>
      </w:pPr>
      <w:r>
        <w:t xml:space="preserve">Si leggeva nella sentenza del 2024: </w:t>
      </w:r>
      <w:r w:rsidR="003A6D10" w:rsidRPr="003A6D10">
        <w:t>“</w:t>
      </w:r>
      <w:r w:rsidR="003A6D10" w:rsidRPr="003A6D10">
        <w:rPr>
          <w:i/>
          <w:iCs/>
        </w:rPr>
        <w:t>l’invarianza di gettito, oltre a postulare, come già detto, il riferimento al cumulo dei</w:t>
      </w:r>
      <w:r w:rsidR="003A6D10">
        <w:rPr>
          <w:i/>
          <w:iCs/>
        </w:rPr>
        <w:t xml:space="preserve"> </w:t>
      </w:r>
      <w:r w:rsidR="003A6D10" w:rsidRPr="003A6D10">
        <w:rPr>
          <w:i/>
          <w:iCs/>
        </w:rPr>
        <w:t xml:space="preserve">canoni/tributi sostituiti in rapporto a quelli introdotti dall’art.1, co.816 </w:t>
      </w:r>
      <w:proofErr w:type="spellStart"/>
      <w:r w:rsidR="003A6D10" w:rsidRPr="003A6D10">
        <w:rPr>
          <w:i/>
          <w:iCs/>
        </w:rPr>
        <w:t>ss</w:t>
      </w:r>
      <w:proofErr w:type="spellEnd"/>
      <w:r w:rsidR="003A6D10" w:rsidRPr="003A6D10">
        <w:rPr>
          <w:i/>
          <w:iCs/>
        </w:rPr>
        <w:t xml:space="preserve"> L.n.160/2019(ossia occupazione di suolo pubblico ed esposizioni pubblicitarie), debba implicitamente</w:t>
      </w:r>
      <w:r w:rsidR="003A6D10">
        <w:rPr>
          <w:i/>
          <w:iCs/>
        </w:rPr>
        <w:t xml:space="preserve"> </w:t>
      </w:r>
      <w:r w:rsidR="003A6D10" w:rsidRPr="003A6D10">
        <w:rPr>
          <w:i/>
          <w:iCs/>
        </w:rPr>
        <w:t>operare con la clausola che, nella scienza economica, si direbbe “</w:t>
      </w:r>
      <w:proofErr w:type="spellStart"/>
      <w:r w:rsidR="003A6D10" w:rsidRPr="003A6D10">
        <w:rPr>
          <w:i/>
          <w:iCs/>
        </w:rPr>
        <w:t>ceteris</w:t>
      </w:r>
      <w:proofErr w:type="spellEnd"/>
      <w:r w:rsidR="003A6D10" w:rsidRPr="003A6D10">
        <w:rPr>
          <w:i/>
          <w:iCs/>
        </w:rPr>
        <w:t xml:space="preserve"> </w:t>
      </w:r>
      <w:proofErr w:type="spellStart"/>
      <w:r w:rsidR="003A6D10" w:rsidRPr="003A6D10">
        <w:rPr>
          <w:i/>
          <w:iCs/>
        </w:rPr>
        <w:t>paribus</w:t>
      </w:r>
      <w:proofErr w:type="spellEnd"/>
      <w:r w:rsidR="003A6D10" w:rsidRPr="003A6D10">
        <w:rPr>
          <w:i/>
          <w:iCs/>
        </w:rPr>
        <w:t>”, ossia fermo</w:t>
      </w:r>
      <w:r w:rsidR="003A6D10">
        <w:rPr>
          <w:i/>
          <w:iCs/>
        </w:rPr>
        <w:t xml:space="preserve"> </w:t>
      </w:r>
      <w:r w:rsidR="003A6D10" w:rsidRPr="003A6D10">
        <w:rPr>
          <w:i/>
          <w:iCs/>
        </w:rPr>
        <w:t>il resto, ad invarianza cioè del fattore relativo alle scelte imprenditoriali dei privati.</w:t>
      </w:r>
      <w:r w:rsidR="003A6D10">
        <w:rPr>
          <w:i/>
          <w:iCs/>
        </w:rPr>
        <w:t xml:space="preserve"> </w:t>
      </w:r>
      <w:r w:rsidR="003A6D10" w:rsidRPr="003A6D10">
        <w:rPr>
          <w:i/>
          <w:iCs/>
        </w:rPr>
        <w:t>L’invarianza di gettito, così delimitata, postula che, date le tariffe approvate dall’ente locale</w:t>
      </w:r>
      <w:r w:rsidR="003A6D10">
        <w:rPr>
          <w:i/>
          <w:iCs/>
        </w:rPr>
        <w:t xml:space="preserve"> </w:t>
      </w:r>
      <w:r w:rsidR="003A6D10" w:rsidRPr="003A6D10">
        <w:rPr>
          <w:i/>
          <w:iCs/>
        </w:rPr>
        <w:t>nell’anno di riferimento per il Cup (es. 2021), il gettito Cup complessivo (occupazione suolo</w:t>
      </w:r>
      <w:r w:rsidR="003A6D10">
        <w:rPr>
          <w:i/>
          <w:iCs/>
        </w:rPr>
        <w:t xml:space="preserve"> </w:t>
      </w:r>
      <w:r w:rsidR="003A6D10" w:rsidRPr="003A6D10">
        <w:rPr>
          <w:i/>
          <w:iCs/>
        </w:rPr>
        <w:t>pubblico + esposizioni pubblicitarie) che ne deriva, in applicazione di dette tariffe a fronte</w:t>
      </w:r>
      <w:r w:rsidR="003A6D10">
        <w:rPr>
          <w:i/>
          <w:iCs/>
        </w:rPr>
        <w:t xml:space="preserve"> </w:t>
      </w:r>
      <w:r w:rsidR="003A6D10" w:rsidRPr="003A6D10">
        <w:rPr>
          <w:i/>
          <w:iCs/>
        </w:rPr>
        <w:t>delle iniziative imprenditoriali assunte, a parità di iniziative private (ossia di mq. di suolo e</w:t>
      </w:r>
      <w:r w:rsidR="003A6D10">
        <w:rPr>
          <w:i/>
          <w:iCs/>
        </w:rPr>
        <w:t xml:space="preserve"> </w:t>
      </w:r>
      <w:r w:rsidR="003A6D10" w:rsidRPr="003A6D10">
        <w:rPr>
          <w:i/>
          <w:iCs/>
        </w:rPr>
        <w:t>di quantità di mq. di impianti pubblicitari) restituisca un valore finanziario, in valore</w:t>
      </w:r>
      <w:r w:rsidR="003A6D10">
        <w:rPr>
          <w:i/>
          <w:iCs/>
        </w:rPr>
        <w:t xml:space="preserve"> </w:t>
      </w:r>
      <w:r w:rsidR="003A6D10" w:rsidRPr="003A6D10">
        <w:rPr>
          <w:i/>
          <w:iCs/>
        </w:rPr>
        <w:t>assoluto, non superiore rispetto a quello che, nell’anno-base (es. il 2020) l’ente aveva</w:t>
      </w:r>
      <w:r w:rsidR="003A6D10">
        <w:rPr>
          <w:i/>
          <w:iCs/>
        </w:rPr>
        <w:t xml:space="preserve"> </w:t>
      </w:r>
      <w:r w:rsidR="003A6D10" w:rsidRPr="003A6D10">
        <w:rPr>
          <w:i/>
          <w:iCs/>
        </w:rPr>
        <w:t>acquisito dal cumulo dei canoni/tributi sostituiti (</w:t>
      </w:r>
      <w:proofErr w:type="spellStart"/>
      <w:r w:rsidR="003A6D10" w:rsidRPr="003A6D10">
        <w:rPr>
          <w:i/>
          <w:iCs/>
        </w:rPr>
        <w:t>Cosap</w:t>
      </w:r>
      <w:proofErr w:type="spellEnd"/>
      <w:r w:rsidR="003A6D10" w:rsidRPr="003A6D10">
        <w:rPr>
          <w:i/>
          <w:iCs/>
        </w:rPr>
        <w:t xml:space="preserve">, </w:t>
      </w:r>
      <w:proofErr w:type="spellStart"/>
      <w:r w:rsidR="003A6D10" w:rsidRPr="003A6D10">
        <w:rPr>
          <w:i/>
          <w:iCs/>
        </w:rPr>
        <w:t>Cimp</w:t>
      </w:r>
      <w:proofErr w:type="spellEnd"/>
      <w:r w:rsidR="003A6D10" w:rsidRPr="003A6D10">
        <w:rPr>
          <w:i/>
          <w:iCs/>
        </w:rPr>
        <w:t>, canoni concessori vari</w:t>
      </w:r>
      <w:r w:rsidR="003A6D10">
        <w:rPr>
          <w:i/>
          <w:iCs/>
        </w:rPr>
        <w:t xml:space="preserve"> </w:t>
      </w:r>
      <w:r w:rsidR="003A6D10" w:rsidRPr="003A6D10">
        <w:rPr>
          <w:i/>
          <w:iCs/>
        </w:rPr>
        <w:t>secondo il Codice della strada, ecc.)</w:t>
      </w:r>
      <w:r w:rsidR="003A6D10" w:rsidRPr="003A6D10">
        <w:t>”</w:t>
      </w:r>
      <w:r>
        <w:t>.</w:t>
      </w:r>
    </w:p>
    <w:p w14:paraId="7D9EADE7" w14:textId="5D59DF49" w:rsidR="00B17160" w:rsidRDefault="00AE1E7A" w:rsidP="003A6D10">
      <w:pPr>
        <w:jc w:val="both"/>
      </w:pPr>
      <w:r>
        <w:t xml:space="preserve">Sul tema dell’invarianza i giudici si spingono anche in una interpretazione della recente modifica normativa </w:t>
      </w:r>
      <w:r w:rsidRPr="00B17160">
        <w:t>introdotta dall’art. 19-</w:t>
      </w:r>
      <w:r w:rsidRPr="00B17160">
        <w:rPr>
          <w:i/>
          <w:iCs/>
        </w:rPr>
        <w:t>bis</w:t>
      </w:r>
      <w:r w:rsidRPr="00B17160">
        <w:t xml:space="preserve">, comma 1, del </w:t>
      </w:r>
      <w:proofErr w:type="spellStart"/>
      <w:r w:rsidRPr="00B17160">
        <w:t>d.l.</w:t>
      </w:r>
      <w:proofErr w:type="spellEnd"/>
      <w:r w:rsidRPr="00B17160">
        <w:t xml:space="preserve"> 30 giugno 2025, n. 95</w:t>
      </w:r>
      <w:r>
        <w:t>, che confermerebbe la teoria dell’invarianza rispetto all’ultimo gettito relativo i precedenti prelievi. Si legge in sentenza: “</w:t>
      </w:r>
      <w:r w:rsidR="00B17160" w:rsidRPr="00AE1E7A">
        <w:rPr>
          <w:i/>
          <w:iCs/>
        </w:rPr>
        <w:t xml:space="preserve">Ben si comprende, dunque, come l’inciso introdotto nel 2025, che fa salva la mera “possibilità” di rivalutazione del gettito in base all’inflazione </w:t>
      </w:r>
      <w:r w:rsidR="00B17160" w:rsidRPr="00AE1E7A">
        <w:rPr>
          <w:i/>
          <w:iCs/>
        </w:rPr>
        <w:lastRenderedPageBreak/>
        <w:t>(indice ISTAT), lasci intendere come, al di fuori di tale opzione, resti ferma la necessità, indicata dalla prima parte della disposizione, di un’invarianza di gettito rispetto ai canoni/tributi sostituiti;</w:t>
      </w:r>
      <w:r>
        <w:rPr>
          <w:i/>
          <w:iCs/>
        </w:rPr>
        <w:t>”</w:t>
      </w:r>
    </w:p>
    <w:p w14:paraId="1EE92232" w14:textId="087A013B" w:rsidR="00B17160" w:rsidRDefault="00AE1E7A" w:rsidP="003A6D10">
      <w:pPr>
        <w:jc w:val="both"/>
      </w:pPr>
      <w:r>
        <w:t>Proseguono specificando:</w:t>
      </w:r>
    </w:p>
    <w:p w14:paraId="7DC806E7" w14:textId="0EC39B75" w:rsidR="00D12F45" w:rsidRDefault="00D12F45" w:rsidP="003A6D10">
      <w:pPr>
        <w:jc w:val="both"/>
        <w:rPr>
          <w:i/>
          <w:iCs/>
        </w:rPr>
      </w:pPr>
      <w:r w:rsidRPr="00D12F45">
        <w:rPr>
          <w:i/>
          <w:iCs/>
        </w:rPr>
        <w:t xml:space="preserve">“ii) opinando diversamente – vale dire nel senso ritenuto da </w:t>
      </w:r>
      <w:r w:rsidRPr="00D12F45">
        <w:rPr>
          <w:b/>
          <w:bCs/>
          <w:i/>
          <w:iCs/>
        </w:rPr>
        <w:t xml:space="preserve">Roma </w:t>
      </w:r>
      <w:r w:rsidRPr="00D12F45">
        <w:rPr>
          <w:i/>
          <w:iCs/>
        </w:rPr>
        <w:t>Capitale,</w:t>
      </w:r>
      <w:r>
        <w:rPr>
          <w:i/>
          <w:iCs/>
        </w:rPr>
        <w:t xml:space="preserve"> </w:t>
      </w:r>
      <w:r w:rsidRPr="00D12F45">
        <w:rPr>
          <w:i/>
          <w:iCs/>
        </w:rPr>
        <w:t>che l’invarianza finanziaria operi per la sola prima annualità di introduzione</w:t>
      </w:r>
      <w:r>
        <w:rPr>
          <w:i/>
          <w:iCs/>
        </w:rPr>
        <w:t xml:space="preserve"> </w:t>
      </w:r>
      <w:r w:rsidRPr="00D12F45">
        <w:rPr>
          <w:i/>
          <w:iCs/>
        </w:rPr>
        <w:t>del CUP - si tornerebbero a manifestare, per le successive annualità, come</w:t>
      </w:r>
      <w:r>
        <w:rPr>
          <w:i/>
          <w:iCs/>
        </w:rPr>
        <w:t xml:space="preserve"> </w:t>
      </w:r>
      <w:r w:rsidRPr="00D12F45">
        <w:rPr>
          <w:i/>
          <w:iCs/>
        </w:rPr>
        <w:t>evidenziato già nella sentenza della Sezione n. 19124/2024, problemi di</w:t>
      </w:r>
      <w:r>
        <w:rPr>
          <w:i/>
          <w:iCs/>
        </w:rPr>
        <w:t xml:space="preserve"> </w:t>
      </w:r>
      <w:r w:rsidRPr="00D12F45">
        <w:rPr>
          <w:i/>
          <w:iCs/>
        </w:rPr>
        <w:t>compatibilità con l’art. 23 della Costituzione, atteso che, in definitiva, il potere</w:t>
      </w:r>
      <w:r>
        <w:rPr>
          <w:i/>
          <w:iCs/>
        </w:rPr>
        <w:t xml:space="preserve"> </w:t>
      </w:r>
      <w:r w:rsidRPr="00D12F45">
        <w:rPr>
          <w:i/>
          <w:iCs/>
        </w:rPr>
        <w:t>di incrementare le tariffe ad opera degli enti locali, pacificamente riconosciuto</w:t>
      </w:r>
      <w:r>
        <w:rPr>
          <w:i/>
          <w:iCs/>
        </w:rPr>
        <w:t xml:space="preserve"> </w:t>
      </w:r>
      <w:r w:rsidRPr="00D12F45">
        <w:rPr>
          <w:i/>
          <w:iCs/>
        </w:rPr>
        <w:t>dal predetto comma 817, resterebbe senza limiti, disancorato da</w:t>
      </w:r>
      <w:r>
        <w:rPr>
          <w:i/>
          <w:iCs/>
        </w:rPr>
        <w:t xml:space="preserve"> </w:t>
      </w:r>
      <w:r w:rsidRPr="00D12F45">
        <w:rPr>
          <w:i/>
          <w:iCs/>
        </w:rPr>
        <w:t>quell’indispensabile copertura, invece assicurata dalla legge.”</w:t>
      </w:r>
    </w:p>
    <w:p w14:paraId="147FEF7D" w14:textId="158B69E6" w:rsidR="00D06CE5" w:rsidRPr="00D06CE5" w:rsidRDefault="00D06CE5" w:rsidP="003A6D10">
      <w:pPr>
        <w:jc w:val="both"/>
      </w:pPr>
      <w:r>
        <w:t xml:space="preserve">I giudici andando ad analizzare la doglianza presentata dalla ricorrente hanno rilevato come Roma Capitale abbia effettivamente seguito correttamente l’iter di trasformazione dai precedenti prelievi al CUP rispettando il disposto del comma 817, non dando tuttavia evidenza che questo principio sia stato allo stesso modo seguito negli anni successivi. Circostanza questa che non è stata letta dai giudici come un motivo di accoglimento della ricorrente, alla quale anzi è stata attribuita la responsabilità di dover provare che il Comune non avesse effettivamente rispettato il disposto del comma 817. Non basta lamentarsi del mancato rispetto della disposizione di Legge, occorre fornire elementi di prova che </w:t>
      </w:r>
      <w:r w:rsidR="00121318">
        <w:t>comprovino</w:t>
      </w:r>
      <w:r>
        <w:t xml:space="preserve"> l’irregolarità </w:t>
      </w:r>
      <w:r w:rsidR="00C960E8">
        <w:t>commessa. E per ques</w:t>
      </w:r>
      <w:r w:rsidR="00121318">
        <w:t>t</w:t>
      </w:r>
      <w:r w:rsidR="00C960E8">
        <w:t>o si legge:</w:t>
      </w:r>
    </w:p>
    <w:p w14:paraId="19AE3CF1" w14:textId="5BD7D3A7" w:rsidR="00D12F45" w:rsidRDefault="00F50DF5" w:rsidP="00F50DF5">
      <w:pPr>
        <w:jc w:val="both"/>
        <w:rPr>
          <w:i/>
          <w:iCs/>
        </w:rPr>
      </w:pPr>
      <w:r>
        <w:rPr>
          <w:i/>
          <w:iCs/>
        </w:rPr>
        <w:t>“</w:t>
      </w:r>
      <w:r w:rsidRPr="00F50DF5">
        <w:rPr>
          <w:i/>
          <w:iCs/>
        </w:rPr>
        <w:t>Ai fini dell’esame della censura proposta, occorre, tuttavia, non</w:t>
      </w:r>
      <w:r>
        <w:rPr>
          <w:i/>
          <w:iCs/>
        </w:rPr>
        <w:t xml:space="preserve"> </w:t>
      </w:r>
      <w:r w:rsidRPr="00F50DF5">
        <w:rPr>
          <w:i/>
          <w:iCs/>
        </w:rPr>
        <w:t>dimeno</w:t>
      </w:r>
      <w:r>
        <w:rPr>
          <w:i/>
          <w:iCs/>
        </w:rPr>
        <w:t xml:space="preserve"> </w:t>
      </w:r>
      <w:r w:rsidRPr="00F50DF5">
        <w:rPr>
          <w:i/>
          <w:iCs/>
        </w:rPr>
        <w:t xml:space="preserve">rilevare che, in alcun modo, </w:t>
      </w:r>
      <w:proofErr w:type="spellStart"/>
      <w:r w:rsidRPr="00F50DF5">
        <w:rPr>
          <w:i/>
          <w:iCs/>
        </w:rPr>
        <w:t>Vivenda</w:t>
      </w:r>
      <w:proofErr w:type="spellEnd"/>
      <w:r w:rsidRPr="00F50DF5">
        <w:rPr>
          <w:i/>
          <w:iCs/>
        </w:rPr>
        <w:t xml:space="preserve"> ha assolto, nell’ambito del presente</w:t>
      </w:r>
      <w:r>
        <w:rPr>
          <w:i/>
          <w:iCs/>
        </w:rPr>
        <w:t xml:space="preserve"> </w:t>
      </w:r>
      <w:r w:rsidRPr="00F50DF5">
        <w:rPr>
          <w:i/>
          <w:iCs/>
        </w:rPr>
        <w:t>giudizio, all’onere di fornire quanto meno un principio di prova in ordine al</w:t>
      </w:r>
      <w:r>
        <w:rPr>
          <w:i/>
          <w:iCs/>
        </w:rPr>
        <w:t xml:space="preserve"> </w:t>
      </w:r>
      <w:r w:rsidRPr="00F50DF5">
        <w:rPr>
          <w:i/>
          <w:iCs/>
        </w:rPr>
        <w:t>fatto che, per le annualità in questione (2024/2025), e quindi non tanto e non</w:t>
      </w:r>
      <w:r w:rsidR="00D06CE5">
        <w:rPr>
          <w:i/>
          <w:iCs/>
        </w:rPr>
        <w:t xml:space="preserve"> </w:t>
      </w:r>
      <w:r w:rsidRPr="00F50DF5">
        <w:rPr>
          <w:i/>
          <w:iCs/>
        </w:rPr>
        <w:t>solo per il 2021, l’applicazione delle tariffe in vigore comporti il superamento</w:t>
      </w:r>
      <w:r>
        <w:rPr>
          <w:i/>
          <w:iCs/>
        </w:rPr>
        <w:t xml:space="preserve"> </w:t>
      </w:r>
      <w:r w:rsidRPr="00F50DF5">
        <w:rPr>
          <w:i/>
          <w:iCs/>
        </w:rPr>
        <w:t>dell’importo individuato da</w:t>
      </w:r>
      <w:r>
        <w:rPr>
          <w:i/>
          <w:iCs/>
        </w:rPr>
        <w:t xml:space="preserve"> </w:t>
      </w:r>
      <w:r w:rsidRPr="00F50DF5">
        <w:rPr>
          <w:i/>
          <w:iCs/>
        </w:rPr>
        <w:t>Roma</w:t>
      </w:r>
      <w:r>
        <w:rPr>
          <w:i/>
          <w:iCs/>
        </w:rPr>
        <w:t xml:space="preserve"> </w:t>
      </w:r>
      <w:r w:rsidRPr="00F50DF5">
        <w:rPr>
          <w:i/>
          <w:iCs/>
        </w:rPr>
        <w:t>Capitale quale “valore-soglia” calcolato</w:t>
      </w:r>
      <w:r>
        <w:rPr>
          <w:i/>
          <w:iCs/>
        </w:rPr>
        <w:t xml:space="preserve"> </w:t>
      </w:r>
      <w:r w:rsidRPr="00F50DF5">
        <w:rPr>
          <w:i/>
          <w:iCs/>
        </w:rPr>
        <w:t>sull’“anno-base” 2020 e pari al cumulo dei canoni/tributi sostituiti introitati in</w:t>
      </w:r>
      <w:r>
        <w:rPr>
          <w:i/>
          <w:iCs/>
        </w:rPr>
        <w:t xml:space="preserve"> </w:t>
      </w:r>
      <w:r w:rsidRPr="00F50DF5">
        <w:rPr>
          <w:i/>
          <w:iCs/>
        </w:rPr>
        <w:t>tale annualità.</w:t>
      </w:r>
    </w:p>
    <w:p w14:paraId="63ADB3C1" w14:textId="61B26F6E" w:rsidR="00F50DF5" w:rsidRDefault="00F50DF5" w:rsidP="00F50DF5">
      <w:pPr>
        <w:jc w:val="both"/>
        <w:rPr>
          <w:i/>
          <w:iCs/>
        </w:rPr>
      </w:pPr>
      <w:r w:rsidRPr="00F50DF5">
        <w:rPr>
          <w:i/>
          <w:iCs/>
        </w:rPr>
        <w:t>Osserva a tal proposito il Collegio come, infatti, tale prova fosse ampiamente</w:t>
      </w:r>
      <w:r>
        <w:rPr>
          <w:i/>
          <w:iCs/>
        </w:rPr>
        <w:t xml:space="preserve"> </w:t>
      </w:r>
      <w:r w:rsidRPr="00F50DF5">
        <w:rPr>
          <w:i/>
          <w:iCs/>
        </w:rPr>
        <w:t>nella disponibilità di parte ricorrente, attesa la possibilità di produrla senza</w:t>
      </w:r>
      <w:r>
        <w:rPr>
          <w:i/>
          <w:iCs/>
        </w:rPr>
        <w:t xml:space="preserve"> </w:t>
      </w:r>
      <w:r w:rsidRPr="00F50DF5">
        <w:rPr>
          <w:i/>
          <w:iCs/>
        </w:rPr>
        <w:t>dover affrontare eccessivi ed inesigibili sforzi argomentativi, se del caso in</w:t>
      </w:r>
      <w:r>
        <w:rPr>
          <w:i/>
          <w:iCs/>
        </w:rPr>
        <w:t xml:space="preserve"> </w:t>
      </w:r>
      <w:r w:rsidRPr="00F50DF5">
        <w:rPr>
          <w:i/>
          <w:iCs/>
        </w:rPr>
        <w:t>esito all’attivazione di un relativo procedimento di accesso agli atti, che,</w:t>
      </w:r>
      <w:r>
        <w:rPr>
          <w:i/>
          <w:iCs/>
        </w:rPr>
        <w:t xml:space="preserve"> </w:t>
      </w:r>
      <w:r w:rsidRPr="00F50DF5">
        <w:rPr>
          <w:i/>
          <w:iCs/>
        </w:rPr>
        <w:t>invero, non risulta essere stato dalla parte nemmeno tentato.</w:t>
      </w:r>
      <w:r w:rsidR="00D06CE5">
        <w:rPr>
          <w:i/>
          <w:iCs/>
        </w:rPr>
        <w:t>”</w:t>
      </w:r>
    </w:p>
    <w:p w14:paraId="31254BFF" w14:textId="793AF90B" w:rsidR="00F50DF5" w:rsidRDefault="00B5733F" w:rsidP="00F50DF5">
      <w:pPr>
        <w:jc w:val="both"/>
      </w:pPr>
      <w:r>
        <w:t xml:space="preserve">Sul motivo di doglianza legato all’applicazione della tariffa giornaliera, secondo la ricorrente, </w:t>
      </w:r>
      <w:r w:rsidRPr="00B5733F">
        <w:t xml:space="preserve"> </w:t>
      </w:r>
      <w:r w:rsidRPr="00C960E8">
        <w:t>Roma</w:t>
      </w:r>
      <w:r w:rsidRPr="00B5733F">
        <w:rPr>
          <w:b/>
          <w:bCs/>
        </w:rPr>
        <w:t xml:space="preserve"> </w:t>
      </w:r>
      <w:r w:rsidRPr="00B5733F">
        <w:t>Capitale avrebbe dovuto ridurre tale tariffa</w:t>
      </w:r>
      <w:r>
        <w:t xml:space="preserve"> </w:t>
      </w:r>
      <w:r w:rsidRPr="00B5733F">
        <w:t>giornaliera per fare in modo che quanto corrisposto dagli operatori per un</w:t>
      </w:r>
      <w:r>
        <w:t xml:space="preserve"> </w:t>
      </w:r>
      <w:r w:rsidRPr="00B5733F">
        <w:t>impianto di durata inferiore all’anno non possa superare quello richiesto, in</w:t>
      </w:r>
      <w:r>
        <w:t xml:space="preserve"> </w:t>
      </w:r>
      <w:r w:rsidRPr="00B5733F">
        <w:t>relazione ad una medesima esposizione, per una durata pari o superiore</w:t>
      </w:r>
      <w:r>
        <w:t xml:space="preserve"> </w:t>
      </w:r>
      <w:r w:rsidRPr="00B5733F">
        <w:t>all’anno solare, evitando di incorrere in quel “</w:t>
      </w:r>
      <w:r w:rsidRPr="00B5733F">
        <w:rPr>
          <w:i/>
          <w:iCs/>
        </w:rPr>
        <w:t>meccanismo distorsivo di cui la</w:t>
      </w:r>
      <w:r>
        <w:rPr>
          <w:i/>
          <w:iCs/>
        </w:rPr>
        <w:t xml:space="preserve"> </w:t>
      </w:r>
      <w:r w:rsidRPr="00B5733F">
        <w:rPr>
          <w:i/>
          <w:iCs/>
        </w:rPr>
        <w:t>ricorrente è stata vittima</w:t>
      </w:r>
      <w:r w:rsidRPr="00B5733F">
        <w:t>” per cui “</w:t>
      </w:r>
      <w:r w:rsidRPr="00B5733F">
        <w:rPr>
          <w:i/>
          <w:iCs/>
        </w:rPr>
        <w:t>a fronte di un’affissione di durata inferiore (o uguale)</w:t>
      </w:r>
      <w:r w:rsidR="00C960E8">
        <w:rPr>
          <w:i/>
          <w:iCs/>
        </w:rPr>
        <w:t xml:space="preserve"> </w:t>
      </w:r>
      <w:r w:rsidRPr="00B5733F">
        <w:rPr>
          <w:i/>
          <w:iCs/>
        </w:rPr>
        <w:t>all’annualità, la Società è stata chiamata a versare un importo a titolo di CUP maggiore</w:t>
      </w:r>
      <w:r w:rsidR="00C960E8">
        <w:rPr>
          <w:i/>
          <w:iCs/>
        </w:rPr>
        <w:t xml:space="preserve"> </w:t>
      </w:r>
      <w:r w:rsidRPr="00B5733F">
        <w:rPr>
          <w:i/>
          <w:iCs/>
        </w:rPr>
        <w:t>(in proporzione) rispetto al CUP che avrebbe versato per un’affissione avente durata</w:t>
      </w:r>
      <w:r>
        <w:rPr>
          <w:i/>
          <w:iCs/>
        </w:rPr>
        <w:t xml:space="preserve"> </w:t>
      </w:r>
      <w:r w:rsidRPr="00B5733F">
        <w:rPr>
          <w:i/>
          <w:iCs/>
        </w:rPr>
        <w:t>coincidente con l’anno solare</w:t>
      </w:r>
      <w:r w:rsidRPr="00B5733F">
        <w:t>”.</w:t>
      </w:r>
    </w:p>
    <w:p w14:paraId="21875D7A" w14:textId="467E31E8" w:rsidR="00B5733F" w:rsidRDefault="00F4773A" w:rsidP="00F50DF5">
      <w:pPr>
        <w:jc w:val="both"/>
      </w:pPr>
      <w:r>
        <w:t>Sul tema i giudici</w:t>
      </w:r>
      <w:r w:rsidR="00C960E8">
        <w:t xml:space="preserve"> non hanno dubbi e confermano il buon operato del Comune che non ha fatto altro che confermare il criterio dettato dal Legislatore. È la norma stessa che prevede uno squilibrio tra la tariffa ad anno solare rispetto a quella giornaliera che comporta una soglia di canone superiore a quella annuale già dopo 35 giorni (euro 70 ad anno solare, euro 2,00 al giorno. Porta come detto ad un calcolo CUP temporaneo per </w:t>
      </w:r>
      <w:r w:rsidR="00B35358">
        <w:t>un’occupazione</w:t>
      </w:r>
      <w:r w:rsidR="00C960E8">
        <w:t xml:space="preserve"> maggiore di 35 </w:t>
      </w:r>
      <w:r w:rsidR="00B35358">
        <w:t xml:space="preserve">giorni </w:t>
      </w:r>
      <w:r w:rsidR="00BD178A">
        <w:t>che supera</w:t>
      </w:r>
      <w:r w:rsidR="00C960E8">
        <w:t xml:space="preserve"> </w:t>
      </w:r>
      <w:r w:rsidR="00BD178A">
        <w:t>la</w:t>
      </w:r>
      <w:r w:rsidR="00C960E8">
        <w:t xml:space="preserve"> tariffa ad anno solare. </w:t>
      </w:r>
      <w:proofErr w:type="gramStart"/>
      <w:r w:rsidR="00BD178A">
        <w:t>Scrivono  a</w:t>
      </w:r>
      <w:proofErr w:type="gramEnd"/>
      <w:r w:rsidR="00BD178A">
        <w:t xml:space="preserve"> questo proposito</w:t>
      </w:r>
      <w:r w:rsidR="00C960E8">
        <w:t>:</w:t>
      </w:r>
    </w:p>
    <w:p w14:paraId="31CDFCA2" w14:textId="4624EE3C" w:rsidR="00F4773A" w:rsidRDefault="00F4773A" w:rsidP="00F50DF5">
      <w:pPr>
        <w:jc w:val="both"/>
        <w:rPr>
          <w:i/>
          <w:iCs/>
        </w:rPr>
      </w:pPr>
      <w:r w:rsidRPr="00F4773A">
        <w:rPr>
          <w:i/>
          <w:iCs/>
        </w:rPr>
        <w:t>“Innanzitutto, occorre sottolineare come le contestate tariffe minime o base,</w:t>
      </w:r>
      <w:r>
        <w:rPr>
          <w:i/>
          <w:iCs/>
        </w:rPr>
        <w:t xml:space="preserve"> </w:t>
      </w:r>
      <w:r w:rsidRPr="00F4773A">
        <w:rPr>
          <w:i/>
          <w:iCs/>
        </w:rPr>
        <w:t>giornaliere e annuali, siano state introdotte direttamente dal legislatore con</w:t>
      </w:r>
      <w:r>
        <w:rPr>
          <w:i/>
          <w:iCs/>
        </w:rPr>
        <w:t xml:space="preserve"> </w:t>
      </w:r>
      <w:r w:rsidRPr="00F4773A">
        <w:rPr>
          <w:i/>
          <w:iCs/>
        </w:rPr>
        <w:t>una norma a ben vedere non tacciata dalla Società di illegittimità</w:t>
      </w:r>
      <w:r>
        <w:rPr>
          <w:i/>
          <w:iCs/>
        </w:rPr>
        <w:t xml:space="preserve"> </w:t>
      </w:r>
      <w:r w:rsidRPr="00F4773A">
        <w:rPr>
          <w:i/>
          <w:iCs/>
        </w:rPr>
        <w:t>costituzionale: è, infatti, il citato art. 1, commi 826 e 827, della legge n.160/2019 a prevedere due tariffe standard base con importo differenziato su</w:t>
      </w:r>
      <w:r>
        <w:rPr>
          <w:i/>
          <w:iCs/>
        </w:rPr>
        <w:t xml:space="preserve"> </w:t>
      </w:r>
      <w:r w:rsidRPr="00F4773A">
        <w:rPr>
          <w:i/>
          <w:iCs/>
        </w:rPr>
        <w:t>base annua e giornaliera rispettivamente pari, per la categoria di comuni a cui</w:t>
      </w:r>
      <w:r>
        <w:rPr>
          <w:i/>
          <w:iCs/>
        </w:rPr>
        <w:t xml:space="preserve"> </w:t>
      </w:r>
      <w:r w:rsidRPr="00F4773A">
        <w:rPr>
          <w:i/>
          <w:iCs/>
        </w:rPr>
        <w:t xml:space="preserve">appartiene </w:t>
      </w:r>
      <w:r w:rsidRPr="00C960E8">
        <w:rPr>
          <w:i/>
          <w:iCs/>
        </w:rPr>
        <w:t>Roma</w:t>
      </w:r>
      <w:r w:rsidRPr="00F4773A">
        <w:rPr>
          <w:b/>
          <w:bCs/>
          <w:i/>
          <w:iCs/>
        </w:rPr>
        <w:t xml:space="preserve"> </w:t>
      </w:r>
      <w:r w:rsidRPr="00F4773A">
        <w:rPr>
          <w:i/>
          <w:iCs/>
        </w:rPr>
        <w:t>Capitale, a euro 70,00 e euro 2,00 al mq, per l’effetto</w:t>
      </w:r>
      <w:r>
        <w:rPr>
          <w:i/>
          <w:iCs/>
        </w:rPr>
        <w:t xml:space="preserve"> </w:t>
      </w:r>
      <w:r w:rsidRPr="00F4773A">
        <w:rPr>
          <w:i/>
          <w:iCs/>
        </w:rPr>
        <w:t>ammettendo l’applicazione di una tariffa giornaliera in proporzione molto più</w:t>
      </w:r>
      <w:r>
        <w:rPr>
          <w:i/>
          <w:iCs/>
        </w:rPr>
        <w:t xml:space="preserve"> </w:t>
      </w:r>
      <w:r w:rsidRPr="00F4773A">
        <w:rPr>
          <w:i/>
          <w:iCs/>
        </w:rPr>
        <w:t>elevata rispetto a quella annuale.”</w:t>
      </w:r>
    </w:p>
    <w:p w14:paraId="195CD042" w14:textId="0CE21C31" w:rsidR="00F4773A" w:rsidRDefault="00F4773A" w:rsidP="00F50DF5">
      <w:pPr>
        <w:jc w:val="both"/>
        <w:rPr>
          <w:i/>
          <w:iCs/>
        </w:rPr>
      </w:pPr>
      <w:r>
        <w:rPr>
          <w:i/>
          <w:iCs/>
        </w:rPr>
        <w:lastRenderedPageBreak/>
        <w:t>“</w:t>
      </w:r>
      <w:r w:rsidRPr="00F4773A">
        <w:rPr>
          <w:i/>
          <w:iCs/>
        </w:rPr>
        <w:t>Come già evidenziato, la facoltà di modificare le tariffe è, difatti, concessa al</w:t>
      </w:r>
      <w:r>
        <w:rPr>
          <w:i/>
          <w:iCs/>
        </w:rPr>
        <w:t xml:space="preserve"> </w:t>
      </w:r>
      <w:r w:rsidRPr="00F4773A">
        <w:rPr>
          <w:i/>
          <w:iCs/>
        </w:rPr>
        <w:t>solo scopo di garantire alle finanze dell’ente locale stesso l’invarianza di gettito</w:t>
      </w:r>
      <w:r>
        <w:rPr>
          <w:i/>
          <w:iCs/>
        </w:rPr>
        <w:t xml:space="preserve"> </w:t>
      </w:r>
      <w:r w:rsidRPr="00F4773A">
        <w:rPr>
          <w:i/>
          <w:iCs/>
        </w:rPr>
        <w:t>rispetto a tutte le entrate sostituite dal CUP e non anche – come vorrebbe</w:t>
      </w:r>
      <w:r>
        <w:rPr>
          <w:i/>
          <w:iCs/>
        </w:rPr>
        <w:t xml:space="preserve"> </w:t>
      </w:r>
      <w:r w:rsidRPr="00F4773A">
        <w:rPr>
          <w:i/>
          <w:iCs/>
        </w:rPr>
        <w:t>parte ricorrente - al fine di consentire risparmi agli operatori pubblicitari che</w:t>
      </w:r>
      <w:r>
        <w:rPr>
          <w:i/>
          <w:iCs/>
        </w:rPr>
        <w:t xml:space="preserve"> </w:t>
      </w:r>
      <w:r w:rsidRPr="00F4773A">
        <w:rPr>
          <w:i/>
          <w:iCs/>
        </w:rPr>
        <w:t>rivendono i relativi spazi pubblicitari.</w:t>
      </w:r>
      <w:r>
        <w:rPr>
          <w:i/>
          <w:iCs/>
        </w:rPr>
        <w:t>”</w:t>
      </w:r>
    </w:p>
    <w:p w14:paraId="5C6EC25E" w14:textId="5AC8E38B" w:rsidR="00F4773A" w:rsidRDefault="00F4773A" w:rsidP="00F50DF5">
      <w:pPr>
        <w:jc w:val="both"/>
      </w:pPr>
      <w:r>
        <w:t xml:space="preserve">I giudici </w:t>
      </w:r>
      <w:r w:rsidR="00BD178A">
        <w:t>in</w:t>
      </w:r>
      <w:r w:rsidR="00121318">
        <w:t xml:space="preserve">fine </w:t>
      </w:r>
      <w:r>
        <w:t xml:space="preserve">accolgono il ricorso </w:t>
      </w:r>
      <w:r w:rsidR="00121318">
        <w:t xml:space="preserve">solamente </w:t>
      </w:r>
      <w:r>
        <w:t xml:space="preserve">per la parte dedicata ai </w:t>
      </w:r>
      <w:r w:rsidRPr="00121318">
        <w:rPr>
          <w:i/>
          <w:iCs/>
        </w:rPr>
        <w:t>diritti di istruttoria</w:t>
      </w:r>
      <w:r>
        <w:t xml:space="preserve"> richiesti dal Comune a fronte dell’attività amministrativa di rilascio dell’autorizzazione. Secondo i giudici questo onere richiesto alla </w:t>
      </w:r>
      <w:r w:rsidR="00516A0B">
        <w:t>società</w:t>
      </w:r>
      <w:r>
        <w:t xml:space="preserve"> </w:t>
      </w:r>
      <w:r w:rsidR="00BD178A">
        <w:t>istante</w:t>
      </w:r>
      <w:r>
        <w:t xml:space="preserve"> non è </w:t>
      </w:r>
      <w:r w:rsidR="00516A0B">
        <w:t>supportata da norma di legge. Si legge in sentenza:</w:t>
      </w:r>
    </w:p>
    <w:p w14:paraId="72CB9AF9" w14:textId="5DA8505F" w:rsidR="00516A0B" w:rsidRPr="00516A0B" w:rsidRDefault="00516A0B" w:rsidP="00516A0B">
      <w:pPr>
        <w:jc w:val="both"/>
        <w:rPr>
          <w:i/>
          <w:iCs/>
        </w:rPr>
      </w:pPr>
      <w:r w:rsidRPr="00516A0B">
        <w:rPr>
          <w:i/>
          <w:iCs/>
        </w:rPr>
        <w:t>“Il ricorso introduttivo deve, invece, essere accolto per quel che concerne la</w:t>
      </w:r>
      <w:r>
        <w:rPr>
          <w:i/>
          <w:iCs/>
        </w:rPr>
        <w:t xml:space="preserve"> </w:t>
      </w:r>
      <w:r w:rsidRPr="00516A0B">
        <w:rPr>
          <w:i/>
          <w:iCs/>
        </w:rPr>
        <w:t>contestata richiesta di pagamento dei diritti di istruttoria connessi al rilascio</w:t>
      </w:r>
      <w:r>
        <w:rPr>
          <w:i/>
          <w:iCs/>
        </w:rPr>
        <w:t xml:space="preserve"> </w:t>
      </w:r>
      <w:r w:rsidRPr="00516A0B">
        <w:rPr>
          <w:i/>
          <w:iCs/>
        </w:rPr>
        <w:t>dell’autorizzazione all’installazione di impianti pubblicitari sui ponteggi e/o</w:t>
      </w:r>
      <w:r>
        <w:rPr>
          <w:i/>
          <w:iCs/>
        </w:rPr>
        <w:t xml:space="preserve"> </w:t>
      </w:r>
      <w:r w:rsidRPr="00516A0B">
        <w:rPr>
          <w:i/>
          <w:iCs/>
        </w:rPr>
        <w:t>recinzioni di cantieri edili posti su immobili privati da ristrutturare, in ragione</w:t>
      </w:r>
      <w:r>
        <w:rPr>
          <w:i/>
          <w:iCs/>
        </w:rPr>
        <w:t xml:space="preserve"> </w:t>
      </w:r>
      <w:r w:rsidRPr="00516A0B">
        <w:rPr>
          <w:i/>
          <w:iCs/>
        </w:rPr>
        <w:t>dell’orientamento già ripetutamente affermato da questa Sezione nelle</w:t>
      </w:r>
      <w:r>
        <w:rPr>
          <w:i/>
          <w:iCs/>
        </w:rPr>
        <w:t xml:space="preserve"> </w:t>
      </w:r>
      <w:r w:rsidRPr="00516A0B">
        <w:rPr>
          <w:i/>
          <w:iCs/>
        </w:rPr>
        <w:t>sentenze n. 3247/2022 e n. 3863/2022, nonché più recentemente ribadito</w:t>
      </w:r>
      <w:r>
        <w:rPr>
          <w:i/>
          <w:iCs/>
        </w:rPr>
        <w:t xml:space="preserve"> </w:t>
      </w:r>
      <w:r w:rsidRPr="00516A0B">
        <w:rPr>
          <w:i/>
          <w:iCs/>
        </w:rPr>
        <w:t>nella sentenza n. 2402/2024 (tutte passate in giudicato per non proposto</w:t>
      </w:r>
      <w:r>
        <w:rPr>
          <w:i/>
          <w:iCs/>
        </w:rPr>
        <w:t xml:space="preserve"> </w:t>
      </w:r>
      <w:r w:rsidRPr="00516A0B">
        <w:rPr>
          <w:i/>
          <w:iCs/>
        </w:rPr>
        <w:t>appello), alle cui più ampie argomentazioni comunque il Collegio rinvia ai</w:t>
      </w:r>
      <w:r>
        <w:rPr>
          <w:i/>
          <w:iCs/>
        </w:rPr>
        <w:t xml:space="preserve"> </w:t>
      </w:r>
      <w:r w:rsidRPr="00516A0B">
        <w:rPr>
          <w:i/>
          <w:iCs/>
        </w:rPr>
        <w:t xml:space="preserve">sensi dell’art. 88, comma 2, lett. d), e dell’art. 74 </w:t>
      </w:r>
      <w:proofErr w:type="spellStart"/>
      <w:r w:rsidRPr="00516A0B">
        <w:rPr>
          <w:i/>
          <w:iCs/>
        </w:rPr>
        <w:t>c.p.a</w:t>
      </w:r>
      <w:proofErr w:type="spellEnd"/>
      <w:r w:rsidRPr="00516A0B">
        <w:rPr>
          <w:i/>
          <w:iCs/>
        </w:rPr>
        <w:t>..</w:t>
      </w:r>
    </w:p>
    <w:p w14:paraId="6994F67C" w14:textId="3203DBF4" w:rsidR="00516A0B" w:rsidRPr="00516A0B" w:rsidRDefault="00516A0B" w:rsidP="00516A0B">
      <w:pPr>
        <w:jc w:val="both"/>
        <w:rPr>
          <w:i/>
          <w:iCs/>
        </w:rPr>
      </w:pPr>
      <w:r w:rsidRPr="00516A0B">
        <w:rPr>
          <w:i/>
          <w:iCs/>
        </w:rPr>
        <w:t>In particolare - per quel che qui interessa - questa Sezione ha, infatti, in tali</w:t>
      </w:r>
      <w:r>
        <w:rPr>
          <w:i/>
          <w:iCs/>
        </w:rPr>
        <w:t xml:space="preserve"> </w:t>
      </w:r>
      <w:r w:rsidRPr="00516A0B">
        <w:rPr>
          <w:i/>
          <w:iCs/>
        </w:rPr>
        <w:t>occasioni chiarito “come nessuna delle deliberazioni istitutive dei diritti di</w:t>
      </w:r>
      <w:r>
        <w:rPr>
          <w:i/>
          <w:iCs/>
        </w:rPr>
        <w:t xml:space="preserve"> </w:t>
      </w:r>
      <w:r w:rsidRPr="00516A0B">
        <w:rPr>
          <w:i/>
          <w:iCs/>
        </w:rPr>
        <w:t>istruttoria relativi al rilascio delle autorizzazioni per l’installazione di mezzi pubblicitari</w:t>
      </w:r>
      <w:r>
        <w:rPr>
          <w:i/>
          <w:iCs/>
        </w:rPr>
        <w:t xml:space="preserve"> </w:t>
      </w:r>
      <w:r w:rsidRPr="00516A0B">
        <w:rPr>
          <w:i/>
          <w:iCs/>
        </w:rPr>
        <w:t>sui cantieri/ponteggi - tanto meno quelle oggetto di impugnazione (le deliberazioni</w:t>
      </w:r>
      <w:r>
        <w:rPr>
          <w:i/>
          <w:iCs/>
        </w:rPr>
        <w:t xml:space="preserve"> </w:t>
      </w:r>
      <w:r w:rsidRPr="00516A0B">
        <w:rPr>
          <w:i/>
          <w:iCs/>
        </w:rPr>
        <w:t>dell’Assemblea Capitolina n. 8/2021 e n. 25/2021) – rechi l’indicazione del presupposto</w:t>
      </w:r>
      <w:r>
        <w:rPr>
          <w:i/>
          <w:iCs/>
        </w:rPr>
        <w:t xml:space="preserve"> </w:t>
      </w:r>
      <w:r w:rsidRPr="00516A0B">
        <w:rPr>
          <w:i/>
          <w:iCs/>
        </w:rPr>
        <w:t>normativo in ragione del quale il potere è stato di fatto esercitato.</w:t>
      </w:r>
      <w:r w:rsidR="00BD178A">
        <w:rPr>
          <w:i/>
          <w:iCs/>
        </w:rPr>
        <w:t xml:space="preserve"> </w:t>
      </w:r>
      <w:r w:rsidRPr="00516A0B">
        <w:rPr>
          <w:i/>
          <w:iCs/>
        </w:rPr>
        <w:t>Né un tale fondamento può ravvisarsi nel comma 816 dell’art. 1 della legge n. 160/2019(Legge di Bilancio 2020), pure invocato dalla difesa comunale, a ben vedere riguardando</w:t>
      </w:r>
      <w:r>
        <w:rPr>
          <w:i/>
          <w:iCs/>
        </w:rPr>
        <w:t xml:space="preserve"> </w:t>
      </w:r>
      <w:r w:rsidRPr="00516A0B">
        <w:rPr>
          <w:i/>
          <w:iCs/>
        </w:rPr>
        <w:t>tale disposizione la sola istituzione del c.d. “canone unico patrimoniale” in materia di</w:t>
      </w:r>
      <w:r>
        <w:rPr>
          <w:i/>
          <w:iCs/>
        </w:rPr>
        <w:t xml:space="preserve"> </w:t>
      </w:r>
      <w:r w:rsidRPr="00516A0B">
        <w:rPr>
          <w:i/>
          <w:iCs/>
        </w:rPr>
        <w:t>occupazione di suolo pubblico e di diffusione di messaggi pubblicitari, e non anche</w:t>
      </w:r>
      <w:r>
        <w:rPr>
          <w:i/>
          <w:iCs/>
        </w:rPr>
        <w:t xml:space="preserve"> </w:t>
      </w:r>
      <w:r w:rsidRPr="00516A0B">
        <w:rPr>
          <w:i/>
          <w:iCs/>
        </w:rPr>
        <w:t>prevedendo l’istituzione in via autonoma dei diritti di istruttoria di cui si discorre.</w:t>
      </w:r>
      <w:r>
        <w:rPr>
          <w:i/>
          <w:iCs/>
        </w:rPr>
        <w:t>”</w:t>
      </w:r>
    </w:p>
    <w:p w14:paraId="5C6FB8D1" w14:textId="7E9CF7DF" w:rsidR="00F50DF5" w:rsidRDefault="00DF39B5" w:rsidP="00F50DF5">
      <w:pPr>
        <w:jc w:val="both"/>
      </w:pPr>
      <w:r>
        <w:t xml:space="preserve">In conclusione, la sentenza del TAR in commento ci restituisce elementi interessanti di valutazione </w:t>
      </w:r>
      <w:r w:rsidR="00E41001">
        <w:t>legati alla</w:t>
      </w:r>
      <w:r>
        <w:t xml:space="preserve"> speciale entrata patrimoniale istituita a partire dal 2021 con il comma 816 della Legge 160/2019 e in particolare.</w:t>
      </w:r>
    </w:p>
    <w:p w14:paraId="0AB7B298" w14:textId="5F0A6BEA" w:rsidR="00DF39B5" w:rsidRDefault="00DF39B5" w:rsidP="00DF39B5">
      <w:pPr>
        <w:pStyle w:val="Paragrafoelenco"/>
        <w:numPr>
          <w:ilvl w:val="0"/>
          <w:numId w:val="1"/>
        </w:numPr>
        <w:jc w:val="both"/>
      </w:pPr>
      <w:r>
        <w:t xml:space="preserve">Viene legittimata la scelta di adottare delle tariffe giornaliere </w:t>
      </w:r>
      <w:r w:rsidR="00E41001">
        <w:t>ancorché</w:t>
      </w:r>
      <w:r>
        <w:t xml:space="preserve"> poss</w:t>
      </w:r>
      <w:r w:rsidR="00E41001">
        <w:t>a</w:t>
      </w:r>
      <w:r>
        <w:t>no, al lato pratico, risultare sproporzionate rispetto a quelle annuali. Del resto</w:t>
      </w:r>
      <w:r w:rsidR="00E41001">
        <w:t>, sostengono i giudici,</w:t>
      </w:r>
      <w:r>
        <w:t xml:space="preserve"> è la stessa previsione normativa disposta dallo Legislatore </w:t>
      </w:r>
      <w:r w:rsidR="006A2A8E">
        <w:t xml:space="preserve">che stabilisce questa sproporzione </w:t>
      </w:r>
      <w:r>
        <w:t>ai commi 826 e 827 della Legge 160/2019.</w:t>
      </w:r>
      <w:r w:rsidR="006A2A8E">
        <w:t xml:space="preserve"> </w:t>
      </w:r>
      <w:r w:rsidR="00E41001">
        <w:t xml:space="preserve">Possiamo aggiungere che in ogni caso </w:t>
      </w:r>
      <w:r w:rsidR="006A2A8E">
        <w:t xml:space="preserve">sarebbe concettualmente sbagliato fare il raffronto tra tipologie di diffusioni pubblicitarie così diverse tra loro </w:t>
      </w:r>
      <w:r w:rsidR="00E41001">
        <w:t>che portano a</w:t>
      </w:r>
      <w:r w:rsidR="006A2A8E">
        <w:t xml:space="preserve"> conteggi CUP completamenti scollegati tra loro. Lo spiegano anche i giudici quando evidenziano come le iniziative della ricorrente non potrebbero mai essere autorizzate per periodi superiori o uguali all’anno, così che non assume alcun valore il raffronto con una tariffa annuale </w:t>
      </w:r>
      <w:r w:rsidR="00796AFA">
        <w:t>in</w:t>
      </w:r>
      <w:r w:rsidR="006A2A8E">
        <w:t xml:space="preserve">applicabile ad una diffusione che per caratteristiche e per ubicazione non </w:t>
      </w:r>
      <w:r w:rsidR="00796AFA">
        <w:t>può</w:t>
      </w:r>
      <w:r w:rsidR="006A2A8E">
        <w:t xml:space="preserve"> avere carattere annuale.</w:t>
      </w:r>
    </w:p>
    <w:p w14:paraId="3C024F5C" w14:textId="77777777" w:rsidR="00E41001" w:rsidRDefault="00E41001" w:rsidP="00E41001">
      <w:pPr>
        <w:pStyle w:val="Paragrafoelenco"/>
        <w:jc w:val="both"/>
      </w:pPr>
    </w:p>
    <w:p w14:paraId="5591637D" w14:textId="1CEAA465" w:rsidR="00E41001" w:rsidRDefault="002E00B3" w:rsidP="00E41001">
      <w:pPr>
        <w:pStyle w:val="Paragrafoelenco"/>
        <w:numPr>
          <w:ilvl w:val="0"/>
          <w:numId w:val="1"/>
        </w:numPr>
        <w:jc w:val="both"/>
      </w:pPr>
      <w:r>
        <w:t>Viene valutato</w:t>
      </w:r>
      <w:r w:rsidR="00E41001">
        <w:t xml:space="preserve"> dal collegio</w:t>
      </w:r>
      <w:r>
        <w:t xml:space="preserve"> il rispetto dell’invarianza di gettito grazie alla documentazione prodotta dal Comune sui conteggi operati in sede di trasformazione dai precedenti prelievi e viene </w:t>
      </w:r>
      <w:r w:rsidR="00E41001">
        <w:t>attribuito</w:t>
      </w:r>
      <w:r>
        <w:t xml:space="preserve"> alla ricorrente l’onere di provare che negli anni successivi non sia </w:t>
      </w:r>
      <w:r w:rsidR="00E41001">
        <w:t>stata</w:t>
      </w:r>
      <w:r>
        <w:t xml:space="preserve"> rispettata tale disposizione di Legge. In assenza di qualunque prova contraria viene </w:t>
      </w:r>
      <w:r w:rsidR="00E41001">
        <w:t xml:space="preserve">così </w:t>
      </w:r>
      <w:r>
        <w:t>respinta la doglianza e legittimato l’operato dell’ente.</w:t>
      </w:r>
    </w:p>
    <w:p w14:paraId="78D66FF1" w14:textId="77777777" w:rsidR="00E41001" w:rsidRDefault="00E41001" w:rsidP="00E41001">
      <w:pPr>
        <w:pStyle w:val="Paragrafoelenco"/>
        <w:jc w:val="both"/>
      </w:pPr>
    </w:p>
    <w:p w14:paraId="329A7C7B" w14:textId="3CEE055B" w:rsidR="002E00B3" w:rsidRPr="00DF39B5" w:rsidRDefault="002E00B3" w:rsidP="00897A44">
      <w:pPr>
        <w:pStyle w:val="Paragrafoelenco"/>
        <w:numPr>
          <w:ilvl w:val="0"/>
          <w:numId w:val="1"/>
        </w:numPr>
        <w:jc w:val="both"/>
      </w:pPr>
      <w:r>
        <w:t>Viene ritenut</w:t>
      </w:r>
      <w:r w:rsidR="00F06554">
        <w:t>a</w:t>
      </w:r>
      <w:r>
        <w:t xml:space="preserve"> infine illegittima la richiesta del Comune di pagamento di </w:t>
      </w:r>
      <w:r w:rsidR="00897A44">
        <w:t>diritti</w:t>
      </w:r>
      <w:r>
        <w:t xml:space="preserve"> di </w:t>
      </w:r>
      <w:r w:rsidR="00F06554">
        <w:t>istruttoria stabiliti dall’ente senza alcun supporto normativo in contrasto con i principi generali che regolano i prelievi di natura fiscale imposti.</w:t>
      </w:r>
      <w:r w:rsidR="00897A44">
        <w:t xml:space="preserve"> Il Comune avrebbe infatti istituito </w:t>
      </w:r>
      <w:r w:rsidR="00114858">
        <w:t xml:space="preserve">il pagamento di </w:t>
      </w:r>
      <w:r w:rsidR="00897A44">
        <w:t xml:space="preserve">diritti di istruttoria pur in </w:t>
      </w:r>
      <w:r w:rsidR="00897A44">
        <w:lastRenderedPageBreak/>
        <w:t>assenza di una copertura legislativa, in evidente violazione della riserva di</w:t>
      </w:r>
      <w:r w:rsidR="00114858">
        <w:t xml:space="preserve"> </w:t>
      </w:r>
      <w:r w:rsidR="00897A44">
        <w:t>legge relativa prevista all’art. 23 della Costituzione</w:t>
      </w:r>
      <w:r w:rsidR="00114858">
        <w:t>.</w:t>
      </w:r>
    </w:p>
    <w:p w14:paraId="65D6F8C2" w14:textId="77777777" w:rsidR="006D7555" w:rsidRDefault="006D7555" w:rsidP="006D7555">
      <w:pPr>
        <w:jc w:val="both"/>
      </w:pPr>
    </w:p>
    <w:sectPr w:rsidR="006D7555">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F53492"/>
    <w:multiLevelType w:val="hybridMultilevel"/>
    <w:tmpl w:val="C17E7084"/>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4546677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E6A"/>
    <w:rsid w:val="00045898"/>
    <w:rsid w:val="000E136F"/>
    <w:rsid w:val="00102222"/>
    <w:rsid w:val="00114858"/>
    <w:rsid w:val="00121318"/>
    <w:rsid w:val="0023345C"/>
    <w:rsid w:val="0027043D"/>
    <w:rsid w:val="002A1E0D"/>
    <w:rsid w:val="002E00B3"/>
    <w:rsid w:val="003A6D10"/>
    <w:rsid w:val="004C102F"/>
    <w:rsid w:val="004E3EB9"/>
    <w:rsid w:val="00516A0B"/>
    <w:rsid w:val="006A2A8E"/>
    <w:rsid w:val="006D7555"/>
    <w:rsid w:val="00736E95"/>
    <w:rsid w:val="00796AFA"/>
    <w:rsid w:val="00897A44"/>
    <w:rsid w:val="009024AF"/>
    <w:rsid w:val="00AE1E7A"/>
    <w:rsid w:val="00B17160"/>
    <w:rsid w:val="00B345D9"/>
    <w:rsid w:val="00B35358"/>
    <w:rsid w:val="00B5733F"/>
    <w:rsid w:val="00BD178A"/>
    <w:rsid w:val="00C960E8"/>
    <w:rsid w:val="00CB0E6A"/>
    <w:rsid w:val="00D06CE5"/>
    <w:rsid w:val="00D12F45"/>
    <w:rsid w:val="00DF39B5"/>
    <w:rsid w:val="00E41001"/>
    <w:rsid w:val="00E47B9E"/>
    <w:rsid w:val="00F06554"/>
    <w:rsid w:val="00F4773A"/>
    <w:rsid w:val="00F50DF5"/>
    <w:rsid w:val="00FA5FF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75A33"/>
  <w15:chartTrackingRefBased/>
  <w15:docId w15:val="{066DB09E-7B8B-4A22-8EBC-076E17893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CB0E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CB0E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CB0E6A"/>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CB0E6A"/>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CB0E6A"/>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CB0E6A"/>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CB0E6A"/>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CB0E6A"/>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CB0E6A"/>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CB0E6A"/>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CB0E6A"/>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CB0E6A"/>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CB0E6A"/>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CB0E6A"/>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CB0E6A"/>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CB0E6A"/>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CB0E6A"/>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CB0E6A"/>
    <w:rPr>
      <w:rFonts w:eastAsiaTheme="majorEastAsia" w:cstheme="majorBidi"/>
      <w:color w:val="272727" w:themeColor="text1" w:themeTint="D8"/>
    </w:rPr>
  </w:style>
  <w:style w:type="paragraph" w:styleId="Titolo">
    <w:name w:val="Title"/>
    <w:basedOn w:val="Normale"/>
    <w:next w:val="Normale"/>
    <w:link w:val="TitoloCarattere"/>
    <w:uiPriority w:val="10"/>
    <w:qFormat/>
    <w:rsid w:val="00CB0E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CB0E6A"/>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CB0E6A"/>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CB0E6A"/>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CB0E6A"/>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CB0E6A"/>
    <w:rPr>
      <w:i/>
      <w:iCs/>
      <w:color w:val="404040" w:themeColor="text1" w:themeTint="BF"/>
    </w:rPr>
  </w:style>
  <w:style w:type="paragraph" w:styleId="Paragrafoelenco">
    <w:name w:val="List Paragraph"/>
    <w:basedOn w:val="Normale"/>
    <w:uiPriority w:val="34"/>
    <w:qFormat/>
    <w:rsid w:val="00CB0E6A"/>
    <w:pPr>
      <w:ind w:left="720"/>
      <w:contextualSpacing/>
    </w:pPr>
  </w:style>
  <w:style w:type="character" w:styleId="Enfasiintensa">
    <w:name w:val="Intense Emphasis"/>
    <w:basedOn w:val="Carpredefinitoparagrafo"/>
    <w:uiPriority w:val="21"/>
    <w:qFormat/>
    <w:rsid w:val="00CB0E6A"/>
    <w:rPr>
      <w:i/>
      <w:iCs/>
      <w:color w:val="2F5496" w:themeColor="accent1" w:themeShade="BF"/>
    </w:rPr>
  </w:style>
  <w:style w:type="paragraph" w:styleId="Citazioneintensa">
    <w:name w:val="Intense Quote"/>
    <w:basedOn w:val="Normale"/>
    <w:next w:val="Normale"/>
    <w:link w:val="CitazioneintensaCarattere"/>
    <w:uiPriority w:val="30"/>
    <w:qFormat/>
    <w:rsid w:val="00CB0E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CB0E6A"/>
    <w:rPr>
      <w:i/>
      <w:iCs/>
      <w:color w:val="2F5496" w:themeColor="accent1" w:themeShade="BF"/>
    </w:rPr>
  </w:style>
  <w:style w:type="character" w:styleId="Riferimentointenso">
    <w:name w:val="Intense Reference"/>
    <w:basedOn w:val="Carpredefinitoparagrafo"/>
    <w:uiPriority w:val="32"/>
    <w:qFormat/>
    <w:rsid w:val="00CB0E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427</TotalTime>
  <Pages>4</Pages>
  <Words>1984</Words>
  <Characters>11311</Characters>
  <Application>Microsoft Office Word</Application>
  <DocSecurity>0</DocSecurity>
  <Lines>94</Lines>
  <Paragraphs>26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13269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26</cp:revision>
  <dcterms:created xsi:type="dcterms:W3CDTF">2025-11-22T12:19:00Z</dcterms:created>
  <dcterms:modified xsi:type="dcterms:W3CDTF">2025-11-23T11:03:00Z</dcterms:modified>
</cp:coreProperties>
</file>