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63520" w14:textId="2F0498D9" w:rsidR="000D1D10" w:rsidRPr="000B4830" w:rsidRDefault="000D1D10">
      <w:r w:rsidRPr="000B4830">
        <w:t xml:space="preserve">Titolo: </w:t>
      </w:r>
      <w:r w:rsidR="00AF3B92">
        <w:t>Il calcolo dell</w:t>
      </w:r>
      <w:r w:rsidRPr="000B4830">
        <w:t>’indennità</w:t>
      </w:r>
      <w:r w:rsidR="001279BA" w:rsidRPr="000B4830">
        <w:t xml:space="preserve"> </w:t>
      </w:r>
      <w:r w:rsidR="00AF3B92">
        <w:t xml:space="preserve">a seguito di verbale di accertamento. La presunzione </w:t>
      </w:r>
      <w:r w:rsidR="00AF3B92" w:rsidRPr="00425E29">
        <w:rPr>
          <w:i/>
          <w:iCs/>
        </w:rPr>
        <w:t>iuris et de iure</w:t>
      </w:r>
    </w:p>
    <w:p w14:paraId="1F59810B" w14:textId="7DEE1411" w:rsidR="00AF3B92" w:rsidRDefault="00A41F97" w:rsidP="00AF3B92">
      <w:pPr>
        <w:jc w:val="both"/>
      </w:pPr>
      <w:bookmarkStart w:id="0" w:name="_Hlk196226548"/>
      <w:r w:rsidRPr="000B4830">
        <w:t xml:space="preserve">Nell’ambito della disciplina del Canone Unico Patrimoniale uno </w:t>
      </w:r>
      <w:r w:rsidR="004B25F9" w:rsidRPr="000B4830">
        <w:t>dei passaggi normativi</w:t>
      </w:r>
      <w:r w:rsidRPr="000B4830">
        <w:t xml:space="preserve"> di maggior interesse è senza dubbio </w:t>
      </w:r>
      <w:r w:rsidR="00AF3B92">
        <w:t>la lettera G del</w:t>
      </w:r>
      <w:r w:rsidRPr="000B4830">
        <w:t xml:space="preserve"> comma 821</w:t>
      </w:r>
      <w:r w:rsidR="004B25F9" w:rsidRPr="000B4830">
        <w:t xml:space="preserve"> della Legge 160/2019</w:t>
      </w:r>
      <w:r w:rsidR="00BC20E5" w:rsidRPr="000B4830">
        <w:t>,</w:t>
      </w:r>
      <w:r w:rsidRPr="000B4830">
        <w:t xml:space="preserve"> che </w:t>
      </w:r>
      <w:r w:rsidR="00AF3B92">
        <w:t>disciplina l’indennità</w:t>
      </w:r>
      <w:r w:rsidR="00904A56">
        <w:t xml:space="preserve"> da applicarsi</w:t>
      </w:r>
      <w:r w:rsidR="00AF3B92">
        <w:t xml:space="preserve"> in caso di </w:t>
      </w:r>
      <w:r w:rsidR="00AF3B92" w:rsidRPr="000B4830">
        <w:t>occupazioni</w:t>
      </w:r>
      <w:r w:rsidR="00816CED" w:rsidRPr="000B4830">
        <w:t xml:space="preserve"> ed esposizioni abusive,</w:t>
      </w:r>
      <w:r w:rsidR="004B25F9" w:rsidRPr="000B4830">
        <w:t xml:space="preserve"> </w:t>
      </w:r>
      <w:r w:rsidR="00816CED" w:rsidRPr="000B4830">
        <w:t>realizzate senza titolo</w:t>
      </w:r>
      <w:r w:rsidR="0069750E">
        <w:t xml:space="preserve"> o in modo difforme</w:t>
      </w:r>
      <w:r w:rsidR="00904A56">
        <w:t xml:space="preserve"> e rilevate a seguito di verbale redatto da pubblico ufficiale</w:t>
      </w:r>
      <w:r w:rsidR="00816CED" w:rsidRPr="000B4830">
        <w:t xml:space="preserve">. </w:t>
      </w:r>
    </w:p>
    <w:p w14:paraId="05381EDF" w14:textId="463537DE" w:rsidR="004251FD" w:rsidRPr="000B4830" w:rsidRDefault="00816CED" w:rsidP="00AF3B92">
      <w:pPr>
        <w:jc w:val="both"/>
        <w:rPr>
          <w:i/>
          <w:iCs/>
        </w:rPr>
      </w:pPr>
      <w:r w:rsidRPr="000B4830">
        <w:t xml:space="preserve">Il comma </w:t>
      </w:r>
      <w:r w:rsidR="004B25F9" w:rsidRPr="000B4830">
        <w:t xml:space="preserve">testualmente prevede come gli enti debbano disciplinare all’interno del proprio Regolamento l’ipotesi </w:t>
      </w:r>
      <w:r w:rsidR="00904A56">
        <w:t xml:space="preserve">di applicazione </w:t>
      </w:r>
      <w:r w:rsidR="004B25F9" w:rsidRPr="000B4830">
        <w:t>dell’indennità e il criterio del suo calcolo a seconda della natura dell’abuso accertato</w:t>
      </w:r>
      <w:r w:rsidR="00904A56">
        <w:t xml:space="preserve"> da parte del pubblico ufficiale</w:t>
      </w:r>
      <w:r w:rsidRPr="000B4830">
        <w:t xml:space="preserve">: </w:t>
      </w:r>
      <w:r w:rsidRPr="000B4830">
        <w:rPr>
          <w:i/>
          <w:iCs/>
        </w:rPr>
        <w:t>“</w:t>
      </w:r>
      <w:r w:rsidRPr="000B4830">
        <w:rPr>
          <w:rFonts w:ascii="AsterStcc-Tondo" w:hAnsi="AsterStcc-Tondo" w:cs="AsterStcc-Tondo"/>
          <w:i/>
          <w:iCs/>
        </w:rPr>
        <w:t>per le occupazioni e la diffusione di</w:t>
      </w:r>
      <w:r w:rsidR="004B25F9" w:rsidRPr="000B4830">
        <w:rPr>
          <w:rFonts w:ascii="AsterStcc-Tondo" w:hAnsi="AsterStcc-Tondo" w:cs="AsterStcc-Tondo"/>
          <w:i/>
          <w:iCs/>
        </w:rPr>
        <w:t xml:space="preserve"> </w:t>
      </w:r>
      <w:r w:rsidRPr="000B4830">
        <w:rPr>
          <w:rFonts w:ascii="AsterStcc-Tondo" w:hAnsi="AsterStcc-Tondo" w:cs="AsterStcc-Tondo"/>
          <w:i/>
          <w:iCs/>
        </w:rPr>
        <w:t>messaggi pubblicitari realizzate abusivamente, la previsione di un’indennità pari al canone maggiorato fino al 50 per cento, considerando permanenti le occupazioni e la diffusione di messaggi pubblicitari realizzate con impianti o manufatti di carattere stabile e presumendo come temporanee le occupazioni e la diffusione di messaggi pubblicitari effettuate dal trentesimo</w:t>
      </w:r>
      <w:r w:rsidR="00BC20E5" w:rsidRPr="000B4830">
        <w:rPr>
          <w:i/>
          <w:iCs/>
        </w:rPr>
        <w:t xml:space="preserve"> </w:t>
      </w:r>
      <w:r w:rsidRPr="000B4830">
        <w:rPr>
          <w:rFonts w:ascii="AsterStcc-Tondo" w:hAnsi="AsterStcc-Tondo" w:cs="AsterStcc-Tondo"/>
          <w:i/>
          <w:iCs/>
        </w:rPr>
        <w:t>giorno antecedente la data del verbale di accertamento, redatto da competente pubblico ufficiale;</w:t>
      </w:r>
      <w:r w:rsidR="001279BA" w:rsidRPr="000B4830">
        <w:rPr>
          <w:rFonts w:ascii="AsterStcc-Tondo" w:hAnsi="AsterStcc-Tondo" w:cs="AsterStcc-Tondo"/>
          <w:i/>
          <w:iCs/>
        </w:rPr>
        <w:t>”</w:t>
      </w:r>
      <w:r w:rsidR="008755DE" w:rsidRPr="000B4830">
        <w:rPr>
          <w:i/>
          <w:iCs/>
        </w:rPr>
        <w:t xml:space="preserve"> </w:t>
      </w:r>
      <w:r w:rsidR="00A41F97" w:rsidRPr="000B4830">
        <w:rPr>
          <w:i/>
          <w:iCs/>
        </w:rPr>
        <w:t xml:space="preserve"> </w:t>
      </w:r>
    </w:p>
    <w:p w14:paraId="1FCD31FC" w14:textId="5A2514D0" w:rsidR="00AF3B92" w:rsidRDefault="00EF0E65" w:rsidP="003A74C5">
      <w:pPr>
        <w:jc w:val="both"/>
      </w:pPr>
      <w:r w:rsidRPr="000B4830">
        <w:t xml:space="preserve">Il Legislatore </w:t>
      </w:r>
      <w:r w:rsidR="00AF3B92">
        <w:t xml:space="preserve">ha voluto espressamente prevedere il criterio di calcolo da adottare partendo da quello che sarebbe stato il canone da versare nel caso in cui l’occupazione o la diffusione </w:t>
      </w:r>
      <w:r w:rsidR="00EB1663">
        <w:t xml:space="preserve">pubblicitaria </w:t>
      </w:r>
      <w:r w:rsidR="00AF3B92">
        <w:t>rilevata fosse stata regolarmente dichiarata e provvista di titolo amministrativo</w:t>
      </w:r>
      <w:r w:rsidR="00904A56">
        <w:t>, lasciando ai singoli enti locali la percentuale di maggiorazione da applicare, fino ad un massimo del 50 per cento.</w:t>
      </w:r>
    </w:p>
    <w:p w14:paraId="4D338A6F" w14:textId="55AB130F" w:rsidR="00792B10" w:rsidRPr="000B4830" w:rsidRDefault="00AF3B92" w:rsidP="003A74C5">
      <w:pPr>
        <w:jc w:val="both"/>
      </w:pPr>
      <w:r>
        <w:t>In particolare, p</w:t>
      </w:r>
      <w:r w:rsidR="00EF0E65" w:rsidRPr="000B4830">
        <w:t xml:space="preserve">er le occupazioni e la diffusione di messaggi pubblicitari realizzate con impianti o manufatti di carattere stabile, </w:t>
      </w:r>
      <w:r w:rsidR="00904A56">
        <w:t xml:space="preserve">è stato disposto di adottare </w:t>
      </w:r>
      <w:r w:rsidR="00EF0E65" w:rsidRPr="000B4830">
        <w:t>la tariffa permanente, ovvero quella definita ad anno solare, il cui importo è stato fissato al comma 826</w:t>
      </w:r>
      <w:r w:rsidR="00904A56">
        <w:t xml:space="preserve"> della L. 160/2019</w:t>
      </w:r>
      <w:r w:rsidR="00EF0E65" w:rsidRPr="000B4830">
        <w:t>, ma che ogni ente potrà modificare in base ai propri equilibri, mentre</w:t>
      </w:r>
      <w:r w:rsidR="00841D37">
        <w:t>,</w:t>
      </w:r>
      <w:r w:rsidR="00EF0E65" w:rsidRPr="000B4830">
        <w:t xml:space="preserve"> per le occupazioni </w:t>
      </w:r>
      <w:r w:rsidR="00904A56">
        <w:t xml:space="preserve">di carattere </w:t>
      </w:r>
      <w:r w:rsidR="00EF0E65" w:rsidRPr="000B4830">
        <w:t>temporane</w:t>
      </w:r>
      <w:r w:rsidR="00904A56">
        <w:t>o</w:t>
      </w:r>
      <w:r w:rsidR="00EF0E65" w:rsidRPr="000B4830">
        <w:t xml:space="preserve">, il Legislatore ha adottato un criterio di calcolo basato su una finzione giuridica, ovvero ipotizzando </w:t>
      </w:r>
      <w:r w:rsidR="00904A56">
        <w:t>la durata del</w:t>
      </w:r>
      <w:r w:rsidR="00EF0E65" w:rsidRPr="000B4830">
        <w:t xml:space="preserve">l’occupazione o </w:t>
      </w:r>
      <w:r w:rsidR="00904A56">
        <w:t>del</w:t>
      </w:r>
      <w:r w:rsidR="00EF0E65" w:rsidRPr="000B4830">
        <w:t xml:space="preserve">l’esposizione pubblicitaria temporanea come se fosse stata realizzata </w:t>
      </w:r>
      <w:r w:rsidR="003A74C5" w:rsidRPr="000B4830">
        <w:t>nei trenta giorni antecedenti a</w:t>
      </w:r>
      <w:r w:rsidR="00904A56">
        <w:t xml:space="preserve">lla data </w:t>
      </w:r>
      <w:r w:rsidR="003A74C5" w:rsidRPr="000B4830">
        <w:t>del verbale di accertamento</w:t>
      </w:r>
      <w:r w:rsidR="00792B10" w:rsidRPr="000B4830">
        <w:t>.</w:t>
      </w:r>
    </w:p>
    <w:p w14:paraId="35FF8036" w14:textId="32E2D546" w:rsidR="00AF3B92" w:rsidRDefault="00792B10" w:rsidP="003A74C5">
      <w:pPr>
        <w:jc w:val="both"/>
      </w:pPr>
      <w:r w:rsidRPr="000B4830">
        <w:t>Una misura</w:t>
      </w:r>
      <w:r w:rsidR="00AF3B92">
        <w:t>, quest’ultima</w:t>
      </w:r>
      <w:r w:rsidRPr="000B4830">
        <w:t xml:space="preserve"> che</w:t>
      </w:r>
      <w:r w:rsidR="003A74C5" w:rsidRPr="000B4830">
        <w:t xml:space="preserve"> deve intendersi come modalità di calcolo afflittiva nei confronti del trasgressore che ha occupato/esposto abusivamente. Un metodo di calcolo che si rende necessario per non svilire l’attività di accertamento che viceversa dovrebbe eseguirsi solo </w:t>
      </w:r>
      <w:r w:rsidR="00EB1663">
        <w:t>in funzione del</w:t>
      </w:r>
      <w:r w:rsidR="003A74C5" w:rsidRPr="000B4830">
        <w:t xml:space="preserve">la data in cui è stata accertata l’occupazione o l’esposizione pubblicitaria abusiva. </w:t>
      </w:r>
    </w:p>
    <w:p w14:paraId="435CB049" w14:textId="1271B0B9" w:rsidR="003A74C5" w:rsidRPr="000B4830" w:rsidRDefault="003A74C5" w:rsidP="003A74C5">
      <w:pPr>
        <w:jc w:val="both"/>
      </w:pPr>
      <w:r w:rsidRPr="000B4830">
        <w:t xml:space="preserve">Quindi, a tutti gli effetti, una misura </w:t>
      </w:r>
      <w:r w:rsidR="00904A56">
        <w:t>volutamente penalizzante</w:t>
      </w:r>
      <w:r w:rsidRPr="000B4830">
        <w:t xml:space="preserve"> al fine di prevenire l’evento contrario all’ordinamento cui si riferiscono, e risarcitoria per il danno procurato alla P.A. e alla collettività.</w:t>
      </w:r>
    </w:p>
    <w:p w14:paraId="4D887691" w14:textId="2CBA2D26" w:rsidR="0042794A" w:rsidRDefault="0042794A" w:rsidP="003A74C5">
      <w:pPr>
        <w:jc w:val="both"/>
      </w:pPr>
      <w:r>
        <w:t xml:space="preserve">Su questo tema si è aperto </w:t>
      </w:r>
      <w:r w:rsidR="00841D37">
        <w:t xml:space="preserve">tuttavia </w:t>
      </w:r>
      <w:r>
        <w:t xml:space="preserve">un dibattito, perché se è corretto e pacifico prevedere di calcolare il dovuto per una occupazione o esposizione temporanea applicando il calcolo di 30 giorni, è da valutare se in sede di contraddittorio con il contribuente, la misura possa o meno essere rettificata davanti ad una </w:t>
      </w:r>
      <w:r w:rsidR="003A74C5" w:rsidRPr="000B4830">
        <w:t>prova documentale o testimoniale che porti a</w:t>
      </w:r>
      <w:r>
        <w:t xml:space="preserve"> definire inequivocabilmente </w:t>
      </w:r>
      <w:r w:rsidR="003A74C5" w:rsidRPr="000B4830">
        <w:t>una durata inferiore ai 30 giorni</w:t>
      </w:r>
      <w:r w:rsidR="00792B10" w:rsidRPr="000B4830">
        <w:t xml:space="preserve"> stabiliti dal legislatore</w:t>
      </w:r>
      <w:r w:rsidR="003A74C5" w:rsidRPr="000B4830">
        <w:t xml:space="preserve">. </w:t>
      </w:r>
    </w:p>
    <w:p w14:paraId="7DA6B833" w14:textId="77777777" w:rsidR="0042794A" w:rsidRDefault="0042794A" w:rsidP="003A74C5">
      <w:pPr>
        <w:jc w:val="both"/>
      </w:pPr>
      <w:r>
        <w:t xml:space="preserve">Diventa dirimente il tipo di presunzione derivante dal verbale di accertamento. Potrebbero infatti porsi profili di criticità tra presunzione </w:t>
      </w:r>
      <w:r w:rsidRPr="00425E29">
        <w:rPr>
          <w:i/>
          <w:iCs/>
        </w:rPr>
        <w:t>iuris et de iure</w:t>
      </w:r>
      <w:r>
        <w:t xml:space="preserve">, che non ammette prova contraria, e </w:t>
      </w:r>
      <w:r w:rsidRPr="00425E29">
        <w:rPr>
          <w:i/>
          <w:iCs/>
        </w:rPr>
        <w:t>iuris tantum</w:t>
      </w:r>
      <w:r>
        <w:t xml:space="preserve">, che invece la ammette. </w:t>
      </w:r>
    </w:p>
    <w:p w14:paraId="3DA0D487" w14:textId="77435B25" w:rsidR="00AF3B92" w:rsidRDefault="00AF3B92" w:rsidP="003A74C5">
      <w:pPr>
        <w:jc w:val="both"/>
      </w:pPr>
      <w:r>
        <w:t>È prevalente</w:t>
      </w:r>
      <w:r w:rsidR="00EB1663">
        <w:t xml:space="preserve">, e condiviso da chi </w:t>
      </w:r>
      <w:r w:rsidR="00472EEC">
        <w:t>scrive, l’orientamento</w:t>
      </w:r>
      <w:r>
        <w:t xml:space="preserve"> che vuole ritenere </w:t>
      </w:r>
      <w:r w:rsidR="0042794A">
        <w:t>la scelta del Legislatore</w:t>
      </w:r>
      <w:r>
        <w:t xml:space="preserve">, </w:t>
      </w:r>
      <w:r w:rsidR="0042794A">
        <w:t xml:space="preserve">legata meramente ad un criterio di calcolo. </w:t>
      </w:r>
      <w:r w:rsidR="00122457">
        <w:t>Un u</w:t>
      </w:r>
      <w:r w:rsidR="0042794A">
        <w:t xml:space="preserve">tilizzo </w:t>
      </w:r>
      <w:r w:rsidR="00122457">
        <w:t>del</w:t>
      </w:r>
      <w:r w:rsidR="0042794A">
        <w:t xml:space="preserve"> conteggio per 30 giorni senza alcuna </w:t>
      </w:r>
      <w:r w:rsidR="00425E29">
        <w:t xml:space="preserve">effettiva </w:t>
      </w:r>
      <w:r w:rsidR="0042794A">
        <w:t xml:space="preserve">presunzione sulla </w:t>
      </w:r>
      <w:r w:rsidR="00841D37">
        <w:t xml:space="preserve">effettiva </w:t>
      </w:r>
      <w:r w:rsidR="0042794A">
        <w:t>durata, ma basa</w:t>
      </w:r>
      <w:r w:rsidR="00122457">
        <w:t xml:space="preserve">ndosi solamente sulla presenza </w:t>
      </w:r>
      <w:r w:rsidR="00841D37">
        <w:t xml:space="preserve">dell’abuso </w:t>
      </w:r>
      <w:r w:rsidR="00122457">
        <w:t>quel determinato giorno individuato nel</w:t>
      </w:r>
      <w:r w:rsidR="0042794A">
        <w:t xml:space="preserve"> verbale del pubblico ufficiale</w:t>
      </w:r>
      <w:r w:rsidR="00122457">
        <w:t xml:space="preserve">. </w:t>
      </w:r>
    </w:p>
    <w:p w14:paraId="2D064FFB" w14:textId="457FF5EC" w:rsidR="00AF3B92" w:rsidRDefault="00122457" w:rsidP="003A74C5">
      <w:pPr>
        <w:jc w:val="both"/>
      </w:pPr>
      <w:r>
        <w:lastRenderedPageBreak/>
        <w:t>In questo caso</w:t>
      </w:r>
      <w:r w:rsidR="00EB1663">
        <w:t>,</w:t>
      </w:r>
      <w:r>
        <w:t xml:space="preserve"> eventuali prove sull’effettiva durata dell’occupazione n</w:t>
      </w:r>
      <w:r w:rsidR="003A74C5" w:rsidRPr="000B4830">
        <w:t xml:space="preserve">on </w:t>
      </w:r>
      <w:r w:rsidR="00792B10" w:rsidRPr="000B4830">
        <w:t>sarebbe</w:t>
      </w:r>
      <w:r w:rsidR="00425E29">
        <w:t>ro</w:t>
      </w:r>
      <w:r w:rsidR="003A74C5" w:rsidRPr="000B4830">
        <w:t xml:space="preserve"> oggetto di valutazione o possibile rettifica del provvedimento emesso.</w:t>
      </w:r>
      <w:r>
        <w:t xml:space="preserve"> </w:t>
      </w:r>
      <w:r w:rsidR="00904A56">
        <w:t>Del resto il soggetto che ha posto in essere l’occupazione o la diffusione pubblicitaria avrebbe dovuto dichiarare e richiedere di poter occupare o esporre, e solo grazie all’attività di presidio del territorio</w:t>
      </w:r>
      <w:r w:rsidR="00472EEC">
        <w:t xml:space="preserve">, è stato possibile </w:t>
      </w:r>
      <w:r w:rsidR="00904A56">
        <w:t xml:space="preserve">far emergere la violazione commessa. Insostenibili quindi gli elementi prodotti </w:t>
      </w:r>
      <w:r w:rsidR="00472EEC">
        <w:t xml:space="preserve">dal soggetto passivo </w:t>
      </w:r>
      <w:r w:rsidR="00904A56">
        <w:t>solo a valle dell’attività di accertamento da parte dell’ufficio.</w:t>
      </w:r>
    </w:p>
    <w:p w14:paraId="3C0A697F" w14:textId="335B0A93" w:rsidR="00904A56" w:rsidRDefault="00904A56" w:rsidP="003A74C5">
      <w:pPr>
        <w:jc w:val="both"/>
      </w:pPr>
      <w:r>
        <w:t xml:space="preserve">In questo senso, la giurisprudenza tributaria è ricca di esempi, che portano ad escludere dalla possibilità di provare eventi o agevolazioni solo in sede contenziosa dopo che l’ufficio ha espletato l’attività di accertamento. </w:t>
      </w:r>
      <w:r w:rsidR="00C7721E">
        <w:t xml:space="preserve">Concetto ben espresso dalla Corte di Cassazione nella sentenza n. 3800 del 2018, che, seppur in materia di TARI, </w:t>
      </w:r>
      <w:r w:rsidR="00C7721E" w:rsidRPr="00C7721E">
        <w:t>ha monoliticamente affermato che le riduzioni possono essere riconosciute solo se la dichiarazione è presentata nei termini previsti dalla legge o dal regolamento comunale, non potendosi sanare l'omissione a posteriori in sede contenziosa.</w:t>
      </w:r>
      <w:r w:rsidR="00472EEC">
        <w:t xml:space="preserve"> Situazioni diverse ma che condividono con l’interpretazione data alla misura indicata dalla lettera G, il ritenere intempestiva ogni dichiarazione fatta in data successiva a quella dell’accertamento della violazione.</w:t>
      </w:r>
    </w:p>
    <w:p w14:paraId="55E3B5C9" w14:textId="49389B60" w:rsidR="003A74C5" w:rsidRPr="000B4830" w:rsidRDefault="00AF3B92" w:rsidP="003A74C5">
      <w:pPr>
        <w:jc w:val="both"/>
      </w:pPr>
      <w:r>
        <w:t>Esiste</w:t>
      </w:r>
      <w:r w:rsidR="00122457">
        <w:t xml:space="preserve"> </w:t>
      </w:r>
      <w:r w:rsidR="00C7721E">
        <w:t>tuttavia</w:t>
      </w:r>
      <w:r w:rsidR="00122457">
        <w:t xml:space="preserve"> chi ritiene </w:t>
      </w:r>
      <w:r>
        <w:t>come</w:t>
      </w:r>
      <w:r w:rsidR="00122457">
        <w:t xml:space="preserve"> l’accertamento si basi su una effettiva presunzione di occupazione, e il calcolo dei 30 giorni deriva proprio da questo, e di conseguenza si tratti di </w:t>
      </w:r>
      <w:r w:rsidR="00472EEC">
        <w:t>una cosiddetta</w:t>
      </w:r>
      <w:r w:rsidR="00841D37">
        <w:t xml:space="preserve"> </w:t>
      </w:r>
      <w:r w:rsidR="00122457">
        <w:t xml:space="preserve">presunzione </w:t>
      </w:r>
      <w:r w:rsidR="00122457" w:rsidRPr="00472EEC">
        <w:rPr>
          <w:i/>
          <w:iCs/>
        </w:rPr>
        <w:t>iuris tantum</w:t>
      </w:r>
      <w:r w:rsidR="00122457">
        <w:t xml:space="preserve"> e quindi soggetta a prova contraria.</w:t>
      </w:r>
      <w:r>
        <w:t xml:space="preserve"> </w:t>
      </w:r>
    </w:p>
    <w:p w14:paraId="1BC1D4FC" w14:textId="39C691A7" w:rsidR="003A74C5" w:rsidRDefault="00122457" w:rsidP="003A74C5">
      <w:pPr>
        <w:jc w:val="both"/>
      </w:pPr>
      <w:r>
        <w:t>Con la visione di chi vuole considerare i 30 giorni solo come criterio matematico</w:t>
      </w:r>
      <w:r w:rsidR="00425E29">
        <w:t>, a</w:t>
      </w:r>
      <w:r w:rsidR="003A74C5" w:rsidRPr="000B4830">
        <w:t xml:space="preserve">nche un’occupazione abusiva di poche ore dovrà pertanto scontare il pagamento di una indennità il cui importo viene definito calcolando il canone maggiorato fino al 50%, prendendo a riferimento la tariffa giornaliera </w:t>
      </w:r>
      <w:r w:rsidR="00B50584" w:rsidRPr="000B4830">
        <w:t>adottata</w:t>
      </w:r>
      <w:r w:rsidR="003A74C5" w:rsidRPr="000B4830">
        <w:t xml:space="preserve"> per la fattispecie e il periodo fittizio di 30 giorni (31 se consideriamo anche il giorno del verbale di accertamento redatto dal pubblico ufficiale).</w:t>
      </w:r>
    </w:p>
    <w:p w14:paraId="11CE91DB" w14:textId="124E7D7A" w:rsidR="00D52997" w:rsidRPr="000B4830" w:rsidRDefault="00D52997" w:rsidP="003A74C5">
      <w:pPr>
        <w:jc w:val="both"/>
      </w:pPr>
      <w:r>
        <w:t xml:space="preserve">Con la visione di chi considera la durata basata su una presunzione iuris tantum, l’avviso di accertamento </w:t>
      </w:r>
      <w:r w:rsidR="00AF3B92">
        <w:t>verrebbe</w:t>
      </w:r>
      <w:r>
        <w:t xml:space="preserve"> </w:t>
      </w:r>
      <w:r w:rsidR="00841D37">
        <w:t>ugualmente</w:t>
      </w:r>
      <w:r>
        <w:t xml:space="preserve"> emesso con il calcolo basato su 30 giorni, tuttavia potr</w:t>
      </w:r>
      <w:r w:rsidR="00AF3B92">
        <w:t>ebbe</w:t>
      </w:r>
      <w:r>
        <w:t xml:space="preserve"> </w:t>
      </w:r>
      <w:r w:rsidR="00841D37">
        <w:t xml:space="preserve">vedersi </w:t>
      </w:r>
      <w:r>
        <w:t>accordare una possibile rettifica in sede di contraddittorio o in sede di ricorso, qualora il contribuente trasgressore dimostr</w:t>
      </w:r>
      <w:r w:rsidR="00AF3B92">
        <w:t>asse</w:t>
      </w:r>
      <w:r w:rsidR="00472EEC">
        <w:t>,</w:t>
      </w:r>
      <w:r>
        <w:t xml:space="preserve"> con prove certe</w:t>
      </w:r>
      <w:r w:rsidR="00472EEC">
        <w:t>,</w:t>
      </w:r>
      <w:r>
        <w:t xml:space="preserve"> che la violazione si è protratta per un periodo inferiore.</w:t>
      </w:r>
      <w:r w:rsidR="00C7721E">
        <w:t xml:space="preserve"> Cosa succederebbe invece se si dimostrasse che l’occupazione abusiva è durata per più di 30 giorni? Verrebbe comunque invocata la presunzione iuris tantum? Non crediamo proprio. Così come riteniamo errata questa interpretazione</w:t>
      </w:r>
      <w:r w:rsidR="00472EEC">
        <w:t>, qualunque risultato porti</w:t>
      </w:r>
      <w:r w:rsidR="00C7721E">
        <w:t>.</w:t>
      </w:r>
    </w:p>
    <w:p w14:paraId="0897D1EA" w14:textId="77777777" w:rsidR="003A74C5" w:rsidRPr="000B4830" w:rsidRDefault="003A74C5" w:rsidP="00816CED">
      <w:pPr>
        <w:autoSpaceDE w:val="0"/>
        <w:autoSpaceDN w:val="0"/>
        <w:adjustRightInd w:val="0"/>
        <w:spacing w:after="0" w:line="240" w:lineRule="auto"/>
        <w:jc w:val="both"/>
        <w:rPr>
          <w:i/>
          <w:iCs/>
        </w:rPr>
      </w:pPr>
    </w:p>
    <w:bookmarkEnd w:id="0"/>
    <w:p w14:paraId="39755684" w14:textId="77777777" w:rsidR="00816CED" w:rsidRPr="000B4830" w:rsidRDefault="00816CED" w:rsidP="00816CED">
      <w:pPr>
        <w:autoSpaceDE w:val="0"/>
        <w:autoSpaceDN w:val="0"/>
        <w:adjustRightInd w:val="0"/>
        <w:spacing w:after="0" w:line="240" w:lineRule="auto"/>
        <w:jc w:val="both"/>
        <w:rPr>
          <w:i/>
          <w:iCs/>
        </w:rPr>
      </w:pPr>
    </w:p>
    <w:sectPr w:rsidR="00816CED" w:rsidRPr="000B483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terStcc-Tondo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50"/>
    <w:rsid w:val="00063DF3"/>
    <w:rsid w:val="0007252B"/>
    <w:rsid w:val="0008755B"/>
    <w:rsid w:val="0009263A"/>
    <w:rsid w:val="000B4830"/>
    <w:rsid w:val="000B5A13"/>
    <w:rsid w:val="000D1D10"/>
    <w:rsid w:val="00122457"/>
    <w:rsid w:val="001279BA"/>
    <w:rsid w:val="00147A7E"/>
    <w:rsid w:val="001633A7"/>
    <w:rsid w:val="00235D06"/>
    <w:rsid w:val="002B57D5"/>
    <w:rsid w:val="003040C8"/>
    <w:rsid w:val="003A072F"/>
    <w:rsid w:val="003A74C5"/>
    <w:rsid w:val="003E490E"/>
    <w:rsid w:val="003E7662"/>
    <w:rsid w:val="00417736"/>
    <w:rsid w:val="004251FD"/>
    <w:rsid w:val="00425E29"/>
    <w:rsid w:val="0042794A"/>
    <w:rsid w:val="00464C00"/>
    <w:rsid w:val="00472EEC"/>
    <w:rsid w:val="0047758B"/>
    <w:rsid w:val="004B25F9"/>
    <w:rsid w:val="00517F53"/>
    <w:rsid w:val="00572497"/>
    <w:rsid w:val="00605CD0"/>
    <w:rsid w:val="0069750E"/>
    <w:rsid w:val="006D0F42"/>
    <w:rsid w:val="00725150"/>
    <w:rsid w:val="00732C68"/>
    <w:rsid w:val="00792B10"/>
    <w:rsid w:val="007D30CE"/>
    <w:rsid w:val="00811432"/>
    <w:rsid w:val="00816CED"/>
    <w:rsid w:val="00841D37"/>
    <w:rsid w:val="008755DE"/>
    <w:rsid w:val="008D37C4"/>
    <w:rsid w:val="00904A56"/>
    <w:rsid w:val="009F022D"/>
    <w:rsid w:val="00A41F97"/>
    <w:rsid w:val="00A514A7"/>
    <w:rsid w:val="00A61759"/>
    <w:rsid w:val="00A86B90"/>
    <w:rsid w:val="00AA1DF7"/>
    <w:rsid w:val="00AE109B"/>
    <w:rsid w:val="00AF3B92"/>
    <w:rsid w:val="00B37073"/>
    <w:rsid w:val="00B50584"/>
    <w:rsid w:val="00BC20E5"/>
    <w:rsid w:val="00C01D52"/>
    <w:rsid w:val="00C055E1"/>
    <w:rsid w:val="00C319F7"/>
    <w:rsid w:val="00C7721E"/>
    <w:rsid w:val="00C95F7E"/>
    <w:rsid w:val="00CB1F8D"/>
    <w:rsid w:val="00D52997"/>
    <w:rsid w:val="00D639E3"/>
    <w:rsid w:val="00D741AA"/>
    <w:rsid w:val="00DF5AC1"/>
    <w:rsid w:val="00DF7890"/>
    <w:rsid w:val="00EA22E3"/>
    <w:rsid w:val="00EB1663"/>
    <w:rsid w:val="00EF0E65"/>
    <w:rsid w:val="00F67019"/>
    <w:rsid w:val="00F9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3C90F"/>
  <w15:chartTrackingRefBased/>
  <w15:docId w15:val="{0FCF12B0-767A-419C-8BE0-D78F7C0E4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6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997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3</cp:revision>
  <dcterms:created xsi:type="dcterms:W3CDTF">2025-04-22T11:15:00Z</dcterms:created>
  <dcterms:modified xsi:type="dcterms:W3CDTF">2025-04-22T15:04:00Z</dcterms:modified>
</cp:coreProperties>
</file>