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2B4E7" w14:textId="10DDB3F5" w:rsidR="00060149" w:rsidRDefault="004169EC">
      <w:r>
        <w:t xml:space="preserve">Titolo: </w:t>
      </w:r>
      <w:r w:rsidR="003601FA">
        <w:t>Il corretto</w:t>
      </w:r>
      <w:r w:rsidRPr="004169EC">
        <w:t xml:space="preserve"> calcolo del CUP per i camion vela</w:t>
      </w:r>
      <w:r>
        <w:t xml:space="preserve"> accertati in sosta prolungata</w:t>
      </w:r>
    </w:p>
    <w:p w14:paraId="7B36FE9E" w14:textId="13E3A1AF" w:rsidR="004169EC" w:rsidRDefault="004169EC">
      <w:r>
        <w:t>Di Alessandro Merciari</w:t>
      </w:r>
    </w:p>
    <w:p w14:paraId="53BEE8E7" w14:textId="57C4AA6E" w:rsidR="004169EC" w:rsidRDefault="004169EC" w:rsidP="00D52FA5">
      <w:pPr>
        <w:jc w:val="both"/>
      </w:pPr>
      <w:r>
        <w:t>Interessante sentenza pronunciata dal Tribunale Ordinario di Pescara in relazione ad un ricorso presentato contro l’avviso di accertamento CUP emesso</w:t>
      </w:r>
      <w:r w:rsidR="00EC3001">
        <w:t xml:space="preserve"> a carico di una azienda che lasciava un </w:t>
      </w:r>
      <w:r w:rsidR="00A83B4E">
        <w:t>veicolo speciale</w:t>
      </w:r>
      <w:r>
        <w:t xml:space="preserve"> pubblicitario</w:t>
      </w:r>
      <w:r w:rsidR="00EC3001">
        <w:t xml:space="preserve"> </w:t>
      </w:r>
      <w:r>
        <w:t xml:space="preserve">in </w:t>
      </w:r>
      <w:r w:rsidR="00D52FA5">
        <w:t>sosta</w:t>
      </w:r>
      <w:r>
        <w:t xml:space="preserve"> prolungata con la pubblicità ben in vista nell’ambito del territorio di competenza dell’ente locale</w:t>
      </w:r>
      <w:r w:rsidR="00D52FA5">
        <w:t>.</w:t>
      </w:r>
    </w:p>
    <w:p w14:paraId="4DB048E9" w14:textId="2040086C" w:rsidR="00D52FA5" w:rsidRDefault="00D52FA5" w:rsidP="00D52FA5">
      <w:pPr>
        <w:jc w:val="both"/>
      </w:pPr>
      <w:r>
        <w:t>Accertata la sosta prolungata</w:t>
      </w:r>
      <w:r w:rsidR="00EC3001">
        <w:t xml:space="preserve"> del veicolo</w:t>
      </w:r>
      <w:r>
        <w:t xml:space="preserve">, l’ufficio provvedeva a </w:t>
      </w:r>
      <w:r w:rsidR="00EC3001">
        <w:t>elevare sanzione ritenendo che il mezzo dovesse</w:t>
      </w:r>
      <w:r w:rsidR="00FB4619">
        <w:t>,</w:t>
      </w:r>
      <w:r w:rsidR="00EC3001">
        <w:t xml:space="preserve"> </w:t>
      </w:r>
      <w:r w:rsidR="00A83B4E">
        <w:t xml:space="preserve">in quelle determinate circostanze, </w:t>
      </w:r>
      <w:r w:rsidR="00EC3001">
        <w:t>essere equiparato ad un normale impianto pubblicitario esposto su suolo pubblico.</w:t>
      </w:r>
    </w:p>
    <w:p w14:paraId="32799BB1" w14:textId="6C1BF282" w:rsidR="00A83B4E" w:rsidRDefault="00A83B4E" w:rsidP="00D52FA5">
      <w:pPr>
        <w:jc w:val="both"/>
      </w:pPr>
      <w:r>
        <w:t xml:space="preserve">Dal verbale di contestazione redatto dalla Polizia locale si evidenziava come il mezzo sostava per un periodo superiore a due ore con un messaggio pubblicitario in vista della strada pubblica, circostanza che faceva scattare l’emissione di avviso di accertamento per quanto attiene al CUP, il Canone Unico </w:t>
      </w:r>
      <w:r w:rsidR="00FB4619">
        <w:t xml:space="preserve">Patrimoniale </w:t>
      </w:r>
      <w:r>
        <w:t>che ha sostituito per le iniziative pubblicitarie l’imposta comunale sulla pubblicità.</w:t>
      </w:r>
    </w:p>
    <w:p w14:paraId="74016EE8" w14:textId="34AF46BB" w:rsidR="00EC3001" w:rsidRDefault="00A83B4E" w:rsidP="00D52FA5">
      <w:pPr>
        <w:jc w:val="both"/>
        <w:rPr>
          <w:i/>
          <w:iCs/>
        </w:rPr>
      </w:pPr>
      <w:r>
        <w:t xml:space="preserve">Nel verbale della Polizia locale si contestava la </w:t>
      </w:r>
      <w:r w:rsidRPr="00A83B4E">
        <w:t>viola</w:t>
      </w:r>
      <w:r>
        <w:t xml:space="preserve">zione del </w:t>
      </w:r>
      <w:r w:rsidRPr="00A83B4E">
        <w:t>comma 3 dell’art. 20 del Regolamento comunale sul canone unico patrimoniale, secondo cui: “</w:t>
      </w:r>
      <w:r w:rsidRPr="00A83B4E">
        <w:rPr>
          <w:i/>
          <w:iCs/>
        </w:rPr>
        <w:t>La pubblicità visiva effettuata per conto proprio o altrui su veicoli pubblicitari appositamente immatricolati a tale destinazione d’uso ai sensi dell’art. 54 del Codice della Strada, in quanto itinerante, compresi i cosiddetti camion vela non è soggetta ad autorizzazione. La sosta dei veicoli su cui è apposta la pubblicità è consentita per la durata complessiva giornaliera di due ore dopo tale periodo sono considerati statici. La durata della sosta dovrà essere evidenziata con l’esposizione del disco orario al fine di facilitare l’accertamento da parte degli organi territoriali competenti. Trascorso il tempo massimo di sosta il veicolo pubblicitario verrà assimilato ad un impianto fisso e quindi soggetto a presentazione della dichiarazione di inizio pubblicità ed all’autorizzazione comunale. In mancanza di quest’ultima, saranno applicate le sanzioni stabilite dagli art. 23 e 25 del codice della strada e dal suindicato art. 18”.</w:t>
      </w:r>
    </w:p>
    <w:p w14:paraId="6525CD1D" w14:textId="6D9AE303" w:rsidR="00740B81" w:rsidRDefault="00A83B4E" w:rsidP="00740B81">
      <w:pPr>
        <w:jc w:val="both"/>
      </w:pPr>
      <w:r>
        <w:t>La disposizione regolamentare è molto chiara ed evidenzia il ruolo di questi veicoli speciali</w:t>
      </w:r>
      <w:r w:rsidR="00740B81">
        <w:t xml:space="preserve">, che rappresentano una </w:t>
      </w:r>
      <w:r w:rsidR="00740B81" w:rsidRPr="00740B81">
        <w:t>tipologia di pubblicità dinamica</w:t>
      </w:r>
      <w:r w:rsidR="00740B81">
        <w:t>.</w:t>
      </w:r>
      <w:r w:rsidR="00FB4619">
        <w:t xml:space="preserve"> Il regolamento specifica come il veicolo trascorso un periodo di sosta superiore a due ore debba essere assimilato ad un impianto fisso, con conseguente regolazione dell’autorizzazione e del pagamento del CUP a favore del Comune sul cui territorio è avvenuta la sosta.</w:t>
      </w:r>
    </w:p>
    <w:p w14:paraId="3BDEDA8A" w14:textId="582A578A" w:rsidR="00740B81" w:rsidRPr="00740B81" w:rsidRDefault="00740B81" w:rsidP="00740B81">
      <w:pPr>
        <w:jc w:val="both"/>
      </w:pPr>
      <w:r>
        <w:t>L</w:t>
      </w:r>
      <w:r w:rsidRPr="00740B81">
        <w:t xml:space="preserve">a diffusione pubblicitaria realizzata con i Camion Vela dovrebbe </w:t>
      </w:r>
      <w:r>
        <w:t xml:space="preserve">infatti </w:t>
      </w:r>
      <w:r w:rsidR="00FB4619">
        <w:t>svolgersi</w:t>
      </w:r>
      <w:r w:rsidRPr="00740B81">
        <w:t xml:space="preserve"> solo in movimento; cioè quando la vela presenta un manifesto pubblicitario esposto, dovrebbe circolare sulle strade e consentire la visione agli altri automobilisti e ai pedoni che transitano lungo le aree adiacenti al percorso del veicolo. Di contro, quando invece i mezzi sostano, fatta eccezione per le brevi soste tecniche, dovrebbero oscurare la pubblicità. </w:t>
      </w:r>
    </w:p>
    <w:p w14:paraId="6A87FC9A" w14:textId="6F72AFA1" w:rsidR="00740B81" w:rsidRDefault="00740B81" w:rsidP="00740B81">
      <w:pPr>
        <w:jc w:val="both"/>
      </w:pPr>
      <w:r w:rsidRPr="00740B81">
        <w:t>Sempre più spesso invece assistiamo all’effetto contrario, i mezzi speciali utilizzati per la propaganda per conto terzi, raggiungono i punti strategici di maggior pregio commerciale, e vengono parcheggiati per intere giornate con la pubblicità ben in vista; spesso in zone dove sarebbe peraltro vietata l’apposizione di qualsiasi cartello pubblicitario, come incroci, rotonde e piazzole di strade ad alto traffico, con passaggi veicolari che permettono di raggiungere migliaia di persone, eludendo le procedure di autorizzazione previste dall’articolo 23 del Codice della Strada e dai Piani Generali degli Impianti Pubblicitari dei Comuni e delle Province.</w:t>
      </w:r>
    </w:p>
    <w:p w14:paraId="3B568DD5" w14:textId="77777777" w:rsidR="00740B81" w:rsidRDefault="00740B81" w:rsidP="00740B81">
      <w:pPr>
        <w:jc w:val="both"/>
      </w:pPr>
      <w:r>
        <w:t>La sentenza del tribunale di Pescara risulta perfettamente in linea con la giurisprudenza. L</w:t>
      </w:r>
      <w:r w:rsidRPr="00740B81">
        <w:t xml:space="preserve">a sezione V della Cassazione, con la sentenza 5858 del 2012, </w:t>
      </w:r>
      <w:r>
        <w:t>aveva</w:t>
      </w:r>
      <w:r w:rsidRPr="00740B81">
        <w:t xml:space="preserve"> chiaramente detto che l'autocarro poster che sosta in centro abitato ben visibile per un periodo di tempo prolungato deve essere equiparato a un normale impianto pubblicitario anche dal punto di vista delle imposte. </w:t>
      </w:r>
    </w:p>
    <w:p w14:paraId="4B75B008" w14:textId="7427F107" w:rsidR="00740B81" w:rsidRPr="00740B81" w:rsidRDefault="00740B81" w:rsidP="00740B81">
      <w:pPr>
        <w:jc w:val="both"/>
      </w:pPr>
      <w:r w:rsidRPr="00740B81">
        <w:lastRenderedPageBreak/>
        <w:t xml:space="preserve">Un chiarimento importante perché legittima l’attività di vigilanza e di accertamento di quei comuni che non vogliono subire il comportamento scorretto da parte di quelle agenzie pubblicitarie che sfruttano i veicoli speciali per la pubblicità dinamica, organizzando invece delle campagne pubblicitarie statiche in zone di particolare pregio e interesse per i propri clienti. </w:t>
      </w:r>
    </w:p>
    <w:p w14:paraId="69C9DC97" w14:textId="329ACDBB" w:rsidR="00740B81" w:rsidRDefault="00740B81" w:rsidP="00740B81">
      <w:pPr>
        <w:jc w:val="both"/>
        <w:rPr>
          <w:i/>
          <w:iCs/>
        </w:rPr>
      </w:pPr>
      <w:r w:rsidRPr="00740B81">
        <w:t xml:space="preserve">In questo senso </w:t>
      </w:r>
      <w:r>
        <w:t>troviamo</w:t>
      </w:r>
      <w:r w:rsidRPr="00740B81">
        <w:t xml:space="preserve"> anche la Circolare n. 62926 del 29 luglio 2008 del Dipartimento per i Trasporti Terrestri e il Trasporto Intermodale che riconduce al rispetto dell’articolo 57 del Regolamento di esecuzione del Codice della Strada chiarendo che: </w:t>
      </w:r>
      <w:r>
        <w:t>“</w:t>
      </w:r>
      <w:r w:rsidRPr="00740B81">
        <w:rPr>
          <w:i/>
          <w:iCs/>
        </w:rPr>
        <w:t>poiché i veicoli su cui sono applicati messaggi pubblicitari sono mezzi pubblicitari “mobili”, non sottoposti ad autorizzazione, nel momento in cui diventano statici, cioè nel caso di sosta prolungata, è necessario occultare la superficie interessata dalla pubblicità, viceversa tali impianti rientrerebbero nella procedura autorizzatoria prevista per gli impianti fissi.</w:t>
      </w:r>
      <w:r>
        <w:rPr>
          <w:i/>
          <w:iCs/>
        </w:rPr>
        <w:t>”</w:t>
      </w:r>
    </w:p>
    <w:p w14:paraId="3820EF97" w14:textId="5FE722B5" w:rsidR="00BA7A64" w:rsidRDefault="00BA7A64" w:rsidP="00740B81">
      <w:pPr>
        <w:jc w:val="both"/>
      </w:pPr>
      <w:r>
        <w:t>Il lavoro dei giudici di Pescara è stato agevolato dalla disciplina regolamentare che ha ben stabilito le regole a cui devono sottostare le pubblicità dinamiche. L’aver fissato il limite temporale delle due ore per valutare quando una sosta diventa “prolungata” è stato decisivo nell’orientare la decisione del tribunale.</w:t>
      </w:r>
    </w:p>
    <w:p w14:paraId="3AF5890F" w14:textId="06FFE36E" w:rsidR="00BA7A64" w:rsidRPr="008A2552" w:rsidRDefault="008A2552" w:rsidP="00740B81">
      <w:pPr>
        <w:jc w:val="both"/>
        <w:rPr>
          <w:i/>
          <w:iCs/>
        </w:rPr>
      </w:pPr>
      <w:r>
        <w:t>Si legge nella sentenza: “</w:t>
      </w:r>
      <w:r w:rsidRPr="008A2552">
        <w:rPr>
          <w:i/>
          <w:iCs/>
        </w:rPr>
        <w:t>Un veicolo in sosta per un periodo prolungato (stabilito dall’art. 20, comma 3 del Regolamento sul C.U.P. nel limite delle due ore) perde le caratteristiche della temporaneità dell’occupazione, consentendo l’equiparazione regolamentare del veicolo all’impianto stabile.”</w:t>
      </w:r>
    </w:p>
    <w:p w14:paraId="28440588" w14:textId="78DFA8F4" w:rsidR="00A83B4E" w:rsidRDefault="008A2552" w:rsidP="00D52FA5">
      <w:pPr>
        <w:jc w:val="both"/>
      </w:pPr>
      <w:r>
        <w:t xml:space="preserve">L’interpretazione data </w:t>
      </w:r>
      <w:r w:rsidR="00C91D7A">
        <w:t>dai giudici</w:t>
      </w:r>
      <w:r>
        <w:t xml:space="preserve">, legittima </w:t>
      </w:r>
      <w:r w:rsidR="00C91D7A">
        <w:t>peraltro</w:t>
      </w:r>
      <w:r>
        <w:t xml:space="preserve"> l’applicazione della tariffa annuale adottata dall’ente locale, che ha calcolato l’indennità</w:t>
      </w:r>
      <w:r w:rsidR="00C91D7A">
        <w:t>,</w:t>
      </w:r>
      <w:r>
        <w:t xml:space="preserve"> e la conseguente sanzion</w:t>
      </w:r>
      <w:r w:rsidR="00C91D7A">
        <w:t>e, secondo il disposto delle</w:t>
      </w:r>
      <w:r>
        <w:t xml:space="preserve"> lettere g e h del comma 821 della Legge 160/2019. Definire di tipo stabile </w:t>
      </w:r>
      <w:r w:rsidR="00C91D7A">
        <w:t xml:space="preserve">l’esposizione realizzata dal veicolo pubblicitario in sosta per un periodo superiore alle due ore, ha portato ad </w:t>
      </w:r>
      <w:r w:rsidR="003A26AC">
        <w:t>applicare la</w:t>
      </w:r>
      <w:r w:rsidR="00C91D7A">
        <w:t xml:space="preserve"> lettera g del comma 821 </w:t>
      </w:r>
      <w:r w:rsidR="003A26AC">
        <w:t xml:space="preserve">calcolando </w:t>
      </w:r>
      <w:r w:rsidR="007D334C">
        <w:t>il dovuto partendo dal</w:t>
      </w:r>
      <w:r w:rsidR="003A26AC">
        <w:t>la</w:t>
      </w:r>
      <w:r w:rsidR="00C91D7A">
        <w:t xml:space="preserve"> tariffa ad anno solare.</w:t>
      </w:r>
    </w:p>
    <w:p w14:paraId="36B6A97C" w14:textId="77777777" w:rsidR="003F4A76" w:rsidRDefault="003F4A76" w:rsidP="003F4A76">
      <w:pPr>
        <w:jc w:val="both"/>
      </w:pPr>
      <w:r>
        <w:t xml:space="preserve">In riferimento a questo aspetto il Tribunale scrive: </w:t>
      </w:r>
    </w:p>
    <w:p w14:paraId="447D5E6E" w14:textId="605F14E0" w:rsidR="003F4A76" w:rsidRPr="003F4A76" w:rsidRDefault="003F4A76" w:rsidP="003F4A76">
      <w:pPr>
        <w:jc w:val="both"/>
        <w:rPr>
          <w:i/>
          <w:iCs/>
        </w:rPr>
      </w:pPr>
      <w:r w:rsidRPr="003F4A76">
        <w:rPr>
          <w:i/>
          <w:iCs/>
        </w:rPr>
        <w:t xml:space="preserve">“b.1. In merito al primo aspetto, occorre precisare che l’art. 1, comma 821, lett. g) della legge n. 160/2019 stabilisce: “per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 giorno antecedente la data del verbale di accertamento, redatto da competente pubblico ufficiale”. </w:t>
      </w:r>
    </w:p>
    <w:p w14:paraId="189C7835" w14:textId="77777777" w:rsidR="003F4A76" w:rsidRPr="00FB4619" w:rsidRDefault="003F4A76" w:rsidP="003F4A76">
      <w:pPr>
        <w:jc w:val="both"/>
        <w:rPr>
          <w:i/>
          <w:iCs/>
          <w:u w:val="single"/>
        </w:rPr>
      </w:pPr>
      <w:r w:rsidRPr="00FB4619">
        <w:rPr>
          <w:i/>
          <w:iCs/>
          <w:u w:val="single"/>
        </w:rPr>
        <w:t xml:space="preserve">La normativa in oggetto prevede che, per le occupazioni stabili, l’indennità sia parametrata al relativo canone (ossia quello annuale), mentre per le occupazioni temporanee, ove vi sia l’accertamento della loro abusività, l’indennità venga parametrata al canone mensile dovuto (ossia ai 30 giorni antecedenti l’accertamento). </w:t>
      </w:r>
    </w:p>
    <w:p w14:paraId="3BF00233" w14:textId="108B8EE8" w:rsidR="003A26AC" w:rsidRDefault="003F4A76" w:rsidP="003F4A76">
      <w:pPr>
        <w:jc w:val="both"/>
        <w:rPr>
          <w:i/>
          <w:iCs/>
        </w:rPr>
      </w:pPr>
      <w:r w:rsidRPr="003F4A76">
        <w:rPr>
          <w:i/>
          <w:iCs/>
        </w:rPr>
        <w:t>Un veicolo in sosta per un periodo prolungato (stabilito dall’art. 20, comma 3 del Regolamento sul C.U.P. nel limite delle due ore) perde le caratteristiche della temporaneità dell’occupazione, consentendo l’equiparazione regolamentare del veicolo all’impianto stabile.”</w:t>
      </w:r>
    </w:p>
    <w:p w14:paraId="583C1597" w14:textId="2516F6BF" w:rsidR="00FB4619" w:rsidRDefault="005B336A" w:rsidP="003F4A76">
      <w:pPr>
        <w:jc w:val="both"/>
      </w:pPr>
      <w:r>
        <w:t xml:space="preserve">Se è pacifico che il camion vela pubblicitario in sosta prolungata debba scontare il Canone Unico come un normale impianto pubblicitario collocato lungo </w:t>
      </w:r>
      <w:r>
        <w:t xml:space="preserve">o in vista di </w:t>
      </w:r>
      <w:r>
        <w:t>una strada pubblica</w:t>
      </w:r>
      <w:r w:rsidR="00571F15">
        <w:t xml:space="preserve">, non altrettanto </w:t>
      </w:r>
      <w:r w:rsidR="00E470B7">
        <w:t>è</w:t>
      </w:r>
      <w:r w:rsidR="00571F15">
        <w:t xml:space="preserve"> se considerarlo soggetto al calcolo del canone con applicazione della tariffa annuale piuttosto che temporanea.</w:t>
      </w:r>
    </w:p>
    <w:p w14:paraId="647E1620" w14:textId="00EDE0CF" w:rsidR="00571F15" w:rsidRDefault="00571F15" w:rsidP="003F4A76">
      <w:pPr>
        <w:jc w:val="both"/>
      </w:pPr>
      <w:r>
        <w:t xml:space="preserve">Dalla sentenza in commento emerge come il Comune scelse di </w:t>
      </w:r>
      <w:r w:rsidR="00E470B7">
        <w:t>valutarlo</w:t>
      </w:r>
      <w:r>
        <w:t xml:space="preserve"> come esposizione permanente per il fatto che il regolamento </w:t>
      </w:r>
      <w:r w:rsidR="00E470B7">
        <w:t>considera</w:t>
      </w:r>
      <w:r>
        <w:t xml:space="preserve"> la vela parcheggiata oltre due ore come un impianto di natura stabile, e i giudici del Tribunale </w:t>
      </w:r>
      <w:r w:rsidR="00E470B7">
        <w:t>seguirono</w:t>
      </w:r>
      <w:r>
        <w:t xml:space="preserve"> la </w:t>
      </w:r>
      <w:r w:rsidR="00E470B7">
        <w:t xml:space="preserve">stessa </w:t>
      </w:r>
      <w:r>
        <w:t>line</w:t>
      </w:r>
      <w:r w:rsidR="00E470B7">
        <w:t>a</w:t>
      </w:r>
      <w:r>
        <w:t xml:space="preserve"> interpretativa. Tuttavia, qualche perplessità rimane. Il camion vela in sosta prolungata </w:t>
      </w:r>
      <w:r w:rsidR="00A43548">
        <w:t>rappresenta</w:t>
      </w:r>
      <w:r>
        <w:t>, ad avviso di chi scrive, comunque un’iniziativa</w:t>
      </w:r>
      <w:r w:rsidR="00E470B7">
        <w:t xml:space="preserve"> pubblicitaria temporanea, equiparata </w:t>
      </w:r>
      <w:r w:rsidR="00A43548">
        <w:t xml:space="preserve">certamente </w:t>
      </w:r>
      <w:r w:rsidR="00E470B7">
        <w:t xml:space="preserve">ad un impianto stabile, </w:t>
      </w:r>
      <w:r w:rsidR="00A43548">
        <w:t xml:space="preserve">ma </w:t>
      </w:r>
      <w:r w:rsidR="00E470B7">
        <w:t>nel senso di un impianto posizionato su suolo</w:t>
      </w:r>
      <w:r w:rsidR="00A43548">
        <w:t xml:space="preserve"> pubblico e</w:t>
      </w:r>
      <w:r w:rsidR="00E470B7">
        <w:t xml:space="preserve"> non su gomme</w:t>
      </w:r>
      <w:r w:rsidR="00A43548">
        <w:t xml:space="preserve">. La diffusione tuttavia </w:t>
      </w:r>
      <w:r w:rsidR="00E470B7">
        <w:t xml:space="preserve">mantiene le caratteristiche di pubblicità temporanea legata alla </w:t>
      </w:r>
      <w:r w:rsidR="00E470B7">
        <w:lastRenderedPageBreak/>
        <w:t xml:space="preserve">propaganda di un prodotto, di un servizio, di una </w:t>
      </w:r>
      <w:r w:rsidR="00A43548">
        <w:t xml:space="preserve">specifica </w:t>
      </w:r>
      <w:r w:rsidR="00E470B7">
        <w:t>iniziativa</w:t>
      </w:r>
      <w:r w:rsidR="00A43548">
        <w:t xml:space="preserve"> o evento</w:t>
      </w:r>
      <w:r w:rsidR="00E470B7">
        <w:t xml:space="preserve">. Per questo, si </w:t>
      </w:r>
      <w:r w:rsidR="00A43548">
        <w:t>riterrebbe</w:t>
      </w:r>
      <w:r w:rsidR="00E470B7">
        <w:t xml:space="preserve"> più corretto applicare il meccanismo di calcolo dell’indennità fissato nella seconda parte della lettera g del comma 821, quando si presume </w:t>
      </w:r>
      <w:r w:rsidR="00E470B7" w:rsidRPr="003F4A76">
        <w:rPr>
          <w:i/>
          <w:iCs/>
        </w:rPr>
        <w:t>come temporanee le occupazioni e la diffusione di messaggi pubblicitari effettuate dal trentesimo giorno antecedente la data del verbale di accertamento, redatto da competente pubblico ufficiale</w:t>
      </w:r>
      <w:r w:rsidR="00A43548">
        <w:t>.</w:t>
      </w:r>
    </w:p>
    <w:p w14:paraId="70D97261" w14:textId="77777777" w:rsidR="00A43548" w:rsidRPr="00A43548" w:rsidRDefault="00A43548" w:rsidP="003F4A76">
      <w:pPr>
        <w:jc w:val="both"/>
      </w:pPr>
    </w:p>
    <w:p w14:paraId="53C36CBD" w14:textId="37072D0D" w:rsidR="00C91D7A" w:rsidRPr="00A83B4E" w:rsidRDefault="00C91D7A" w:rsidP="00D52FA5">
      <w:pPr>
        <w:jc w:val="both"/>
      </w:pPr>
    </w:p>
    <w:sectPr w:rsidR="00C91D7A" w:rsidRPr="00A83B4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810"/>
    <w:rsid w:val="00060149"/>
    <w:rsid w:val="003601FA"/>
    <w:rsid w:val="003A26AC"/>
    <w:rsid w:val="003F4A76"/>
    <w:rsid w:val="004169EC"/>
    <w:rsid w:val="00571F15"/>
    <w:rsid w:val="005B336A"/>
    <w:rsid w:val="00612D42"/>
    <w:rsid w:val="00740B81"/>
    <w:rsid w:val="007B1496"/>
    <w:rsid w:val="007D334C"/>
    <w:rsid w:val="008A2552"/>
    <w:rsid w:val="009D28D5"/>
    <w:rsid w:val="00A02EED"/>
    <w:rsid w:val="00A43548"/>
    <w:rsid w:val="00A83B4E"/>
    <w:rsid w:val="00BA7A64"/>
    <w:rsid w:val="00C26810"/>
    <w:rsid w:val="00C91D7A"/>
    <w:rsid w:val="00D52FA5"/>
    <w:rsid w:val="00E470B7"/>
    <w:rsid w:val="00EC3001"/>
    <w:rsid w:val="00FB461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C0DB"/>
  <w15:chartTrackingRefBased/>
  <w15:docId w15:val="{07390463-7E35-42B8-89F5-F5EA8568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26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C26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C26810"/>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2681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2681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2681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2681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2681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2681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26810"/>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C26810"/>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2681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2681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2681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2681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2681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2681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2681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26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2681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2681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2681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2681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26810"/>
    <w:rPr>
      <w:i/>
      <w:iCs/>
      <w:color w:val="404040" w:themeColor="text1" w:themeTint="BF"/>
    </w:rPr>
  </w:style>
  <w:style w:type="paragraph" w:styleId="Paragrafoelenco">
    <w:name w:val="List Paragraph"/>
    <w:basedOn w:val="Normale"/>
    <w:uiPriority w:val="34"/>
    <w:qFormat/>
    <w:rsid w:val="00C26810"/>
    <w:pPr>
      <w:ind w:left="720"/>
      <w:contextualSpacing/>
    </w:pPr>
  </w:style>
  <w:style w:type="character" w:styleId="Enfasiintensa">
    <w:name w:val="Intense Emphasis"/>
    <w:basedOn w:val="Carpredefinitoparagrafo"/>
    <w:uiPriority w:val="21"/>
    <w:qFormat/>
    <w:rsid w:val="00C26810"/>
    <w:rPr>
      <w:i/>
      <w:iCs/>
      <w:color w:val="2F5496" w:themeColor="accent1" w:themeShade="BF"/>
    </w:rPr>
  </w:style>
  <w:style w:type="paragraph" w:styleId="Citazioneintensa">
    <w:name w:val="Intense Quote"/>
    <w:basedOn w:val="Normale"/>
    <w:next w:val="Normale"/>
    <w:link w:val="CitazioneintensaCarattere"/>
    <w:uiPriority w:val="30"/>
    <w:qFormat/>
    <w:rsid w:val="00C26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26810"/>
    <w:rPr>
      <w:i/>
      <w:iCs/>
      <w:color w:val="2F5496" w:themeColor="accent1" w:themeShade="BF"/>
    </w:rPr>
  </w:style>
  <w:style w:type="character" w:styleId="Riferimentointenso">
    <w:name w:val="Intense Reference"/>
    <w:basedOn w:val="Carpredefinitoparagrafo"/>
    <w:uiPriority w:val="32"/>
    <w:qFormat/>
    <w:rsid w:val="00C268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815251">
      <w:bodyDiv w:val="1"/>
      <w:marLeft w:val="0"/>
      <w:marRight w:val="0"/>
      <w:marTop w:val="0"/>
      <w:marBottom w:val="0"/>
      <w:divBdr>
        <w:top w:val="none" w:sz="0" w:space="0" w:color="auto"/>
        <w:left w:val="none" w:sz="0" w:space="0" w:color="auto"/>
        <w:bottom w:val="none" w:sz="0" w:space="0" w:color="auto"/>
        <w:right w:val="none" w:sz="0" w:space="0" w:color="auto"/>
      </w:divBdr>
    </w:div>
    <w:div w:id="207534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3</Pages>
  <Words>1325</Words>
  <Characters>7557</Characters>
  <Application>Microsoft Office Word</Application>
  <DocSecurity>0</DocSecurity>
  <Lines>62</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14</cp:revision>
  <dcterms:created xsi:type="dcterms:W3CDTF">2025-04-24T10:27:00Z</dcterms:created>
  <dcterms:modified xsi:type="dcterms:W3CDTF">2025-04-28T09:19:00Z</dcterms:modified>
</cp:coreProperties>
</file>