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A1DCE" w14:textId="29FC3B5B" w:rsidR="00060149" w:rsidRDefault="00163A6F">
      <w:r>
        <w:t>Titolo: Il gestore del servizio idrico deve versare il CUP ai Comuni e alle Province</w:t>
      </w:r>
    </w:p>
    <w:p w14:paraId="15F7E66B" w14:textId="278C32AB" w:rsidR="00163A6F" w:rsidRDefault="00163A6F">
      <w:r>
        <w:t>Di Alessandro Merciari</w:t>
      </w:r>
    </w:p>
    <w:p w14:paraId="0614149A" w14:textId="77777777" w:rsidR="00163A6F" w:rsidRDefault="00163A6F"/>
    <w:p w14:paraId="4939D669" w14:textId="79F4BD4A" w:rsidR="00163A6F" w:rsidRDefault="00163A6F" w:rsidP="005E6918">
      <w:pPr>
        <w:jc w:val="both"/>
      </w:pPr>
      <w:r>
        <w:t>Una nuova e importante sentenza è stata pubblicata in materia di Canone per i servizi di rete in tema di erogazione dei servizi legati ciclo idrico</w:t>
      </w:r>
      <w:r w:rsidR="005E6918">
        <w:t xml:space="preserve"> integrato</w:t>
      </w:r>
      <w:r>
        <w:t>.</w:t>
      </w:r>
    </w:p>
    <w:p w14:paraId="626B0C83" w14:textId="3D0EC2A2" w:rsidR="00163A6F" w:rsidRDefault="00163A6F" w:rsidP="00163A6F">
      <w:pPr>
        <w:jc w:val="both"/>
      </w:pPr>
      <w:r>
        <w:t xml:space="preserve">La seconda sezione della Corte d’Appello di Venezia con la sentenza 3441/2005 pubblicata il 19 dicembre 2025 ha deciso sulla soggettività passiva di un importante </w:t>
      </w:r>
      <w:r w:rsidRPr="00163A6F">
        <w:t>gestore del servizio idrico integrato per 107 Comuni delle province di Padova, Rovigo, Vicenza, Verona</w:t>
      </w:r>
      <w:r>
        <w:t xml:space="preserve"> e </w:t>
      </w:r>
      <w:r w:rsidRPr="00163A6F">
        <w:t>Venezia</w:t>
      </w:r>
      <w:r>
        <w:t>. Un gestore che s</w:t>
      </w:r>
      <w:r w:rsidRPr="00163A6F">
        <w:t>i occupa di prelevare l’acqua dalle fonti di produzione, renderla potabile e distribuirla a tutte le utenze, domestiche e no</w:t>
      </w:r>
      <w:r w:rsidR="005E6918">
        <w:t>n</w:t>
      </w:r>
      <w:r>
        <w:t xml:space="preserve">, utilizzando oltre 10.000 </w:t>
      </w:r>
      <w:r w:rsidRPr="00163A6F">
        <w:t>chilometri di condotte tra reti idriche e fognarie.</w:t>
      </w:r>
    </w:p>
    <w:p w14:paraId="3F0C22A0" w14:textId="6613FB90" w:rsidR="00163A6F" w:rsidRDefault="00163A6F" w:rsidP="00163A6F">
      <w:pPr>
        <w:jc w:val="both"/>
      </w:pPr>
      <w:r>
        <w:t xml:space="preserve">Il gestore, per i quali i giudici hanno riconosciuto la soggettività passiva al CUP, </w:t>
      </w:r>
      <w:r w:rsidR="005E6918" w:rsidRPr="00163A6F">
        <w:t>opera</w:t>
      </w:r>
      <w:r w:rsidR="005E6918">
        <w:t xml:space="preserve"> </w:t>
      </w:r>
      <w:r w:rsidR="005E6918" w:rsidRPr="00163A6F">
        <w:t>in</w:t>
      </w:r>
      <w:r w:rsidRPr="00163A6F">
        <w:t xml:space="preserve"> regime di affidamento “in house”</w:t>
      </w:r>
      <w:r>
        <w:t xml:space="preserve"> </w:t>
      </w:r>
      <w:r w:rsidR="005E6918">
        <w:t>esattamente</w:t>
      </w:r>
      <w:r>
        <w:t xml:space="preserve"> come avviene per moltissimi gestori impegnati nei diversi </w:t>
      </w:r>
      <w:r w:rsidR="005E6918" w:rsidRPr="005E6918">
        <w:t>Ambiti Territoriali Ottimali (ATO)</w:t>
      </w:r>
      <w:r w:rsidR="005E6918">
        <w:t xml:space="preserve"> d</w:t>
      </w:r>
      <w:r>
        <w:t>el nostro Paese</w:t>
      </w:r>
      <w:r w:rsidR="005E6918">
        <w:t>. Si tratta di</w:t>
      </w:r>
      <w:r w:rsidRPr="00163A6F">
        <w:t xml:space="preserve"> una società per azioni a capitale totalmente pubblico, di proprietà dei 107 Comuni soci, che esercitano il potere di direzione e controllo secondo quanto previsto dalla normativa e dallo Statuto.</w:t>
      </w:r>
      <w:r>
        <w:t xml:space="preserve"> </w:t>
      </w:r>
      <w:r w:rsidR="005E6918">
        <w:t>Caratteristica e</w:t>
      </w:r>
      <w:r>
        <w:t xml:space="preserve"> requisito soggettivo che </w:t>
      </w:r>
      <w:r w:rsidR="005E6918">
        <w:t xml:space="preserve">tuttavia, come scrivono i giudici della Corte d’Appello, </w:t>
      </w:r>
      <w:r>
        <w:t xml:space="preserve">non lo sottrae dal pagamento del Canone dovuto per le occupazioni permanenti </w:t>
      </w:r>
      <w:r w:rsidR="00903DDB">
        <w:t>realizzate</w:t>
      </w:r>
      <w:r>
        <w:t xml:space="preserve"> per </w:t>
      </w:r>
      <w:r w:rsidR="00903DDB">
        <w:t>l’erogazione dei servizi di rete.</w:t>
      </w:r>
    </w:p>
    <w:p w14:paraId="184D785F" w14:textId="7192869E" w:rsidR="00EB68C8" w:rsidRPr="00EB68C8" w:rsidRDefault="00EB68C8" w:rsidP="00163A6F">
      <w:pPr>
        <w:jc w:val="both"/>
        <w:rPr>
          <w:b/>
          <w:bCs/>
        </w:rPr>
      </w:pPr>
      <w:r w:rsidRPr="00EB68C8">
        <w:rPr>
          <w:b/>
          <w:bCs/>
        </w:rPr>
        <w:t>Servizi coinvolti</w:t>
      </w:r>
      <w:r w:rsidR="00550803">
        <w:rPr>
          <w:b/>
          <w:bCs/>
        </w:rPr>
        <w:t xml:space="preserve"> nel Sistema Idrico Integrato (SII)</w:t>
      </w:r>
    </w:p>
    <w:p w14:paraId="11D79E04" w14:textId="486C1831" w:rsidR="005E6918" w:rsidRDefault="005E6918" w:rsidP="005E6918">
      <w:pPr>
        <w:jc w:val="both"/>
      </w:pPr>
      <w:r>
        <w:t xml:space="preserve">Ma andiamo con ordine, innanzi tutto è bene precisare quali servizi rientrano nell’ambito applicativo dello speciale Canone dovuto per l’erogazione dei servizi di rete. </w:t>
      </w:r>
      <w:r w:rsidRPr="005E6918">
        <w:t xml:space="preserve">Il Legislatore, nella specifica disciplina del comma 831 elencava, a titolo esemplificativo, una serie di servizi che rientrano certamente nell’ambito applicativo: </w:t>
      </w:r>
      <w:r w:rsidRPr="005E6918">
        <w:rPr>
          <w:i/>
          <w:iCs/>
        </w:rPr>
        <w:t xml:space="preserve">“…la fornitura di servizi di pubblica utilità, quali la distribuzione ed erogazione di energia elettrica, gas, acqua, calore, servizi di telecomunicazione e radiotelevisivi e di altri servizi a rete…”. </w:t>
      </w:r>
      <w:r w:rsidRPr="005E6918">
        <w:t>Un elenco non esaustivo che lascia aperta la possibile individuazione di ulteriori servizi di rete erogati in particolari contesti territoriali.</w:t>
      </w:r>
    </w:p>
    <w:p w14:paraId="4396D082" w14:textId="0A38B777" w:rsidR="00EB68C8" w:rsidRDefault="00EB68C8" w:rsidP="00EB68C8">
      <w:pPr>
        <w:jc w:val="both"/>
      </w:pPr>
      <w:r w:rsidRPr="00EB68C8">
        <w:t>Per rientrare nell’ambito del comma 831 occorre sempre verificare la presenza di due requisiti, necessari per consentire l’applicazione del regime tariffario forfetario calcolato ad utenza. Un primo criterio soggettivo legato alla effettiva titolarità da parte dell'occupante di un servizio pubblico; un secondo elemento, legato all'occupazione finalizzata all'esercizio del servizio pubblico.</w:t>
      </w:r>
    </w:p>
    <w:p w14:paraId="6E680989" w14:textId="77777777" w:rsidR="00EB68C8" w:rsidRDefault="00EB68C8" w:rsidP="00EB68C8">
      <w:pPr>
        <w:jc w:val="both"/>
      </w:pPr>
      <w:r>
        <w:t xml:space="preserve">Per capire il corretto approccio da riservare alla quantificazione del canone per i servizi legati al sistema idrico integrato, dobbiamo analizzare gli articoli del Decreto legislativo 152 del 2007 e le indicazioni fornite di ARERA, l’Autorità di Regolazione per Energia Reti e Ambiente. </w:t>
      </w:r>
    </w:p>
    <w:p w14:paraId="2842B67F" w14:textId="77777777" w:rsidR="00EB68C8" w:rsidRDefault="00EB68C8" w:rsidP="00EB68C8">
      <w:pPr>
        <w:jc w:val="both"/>
      </w:pPr>
      <w:r>
        <w:t xml:space="preserve">L’articolo 147 del decreto chiarisce innanzi tutto che i servizi idrici sono organizzati sulla base degli Ambiti Territoriali Ottimali (ATO), ossia porzioni di territorio la cui delimitazione è definita dalle Regioni nel rispetto di diversi principi, che hanno portato a registrare 64 ambiti, distribuiti sul territorio nazionale e che saranno quindi oggetto di valutazione sotto il profilo fiscale derivante dall’applicazione del CUP da parte dei singoli enti territoriali serviti dal gestore di ciascun ATO. </w:t>
      </w:r>
    </w:p>
    <w:p w14:paraId="225FE501" w14:textId="77777777" w:rsidR="00EB68C8" w:rsidRDefault="00EB68C8" w:rsidP="00EB68C8">
      <w:pPr>
        <w:jc w:val="both"/>
      </w:pPr>
      <w:r>
        <w:t xml:space="preserve">Così come riportato nel D.P.C.M. 20 luglio 2012, il servizio idrico integrato, gestito, secondo principi di efficienza, efficacia ed economicità, nel rispetto delle norme nazionali e comunitarie, è costituito dall'insieme dei servizi pubblici di captazione, adduzione e distribuzione di acqua ad usi civili, di fognatura e depurazione delle acque reflue, compresi i servizi di captazione adduzione a usi multipli e i servizi di depurazione ad usi misti civili e industriali. </w:t>
      </w:r>
    </w:p>
    <w:p w14:paraId="24762515" w14:textId="63795724" w:rsidR="00EB68C8" w:rsidRDefault="00EB68C8" w:rsidP="00EB68C8">
      <w:pPr>
        <w:jc w:val="both"/>
      </w:pPr>
      <w:r>
        <w:lastRenderedPageBreak/>
        <w:t>Ecco quindi che i servizi di riferimento nel sistema idrico integrato sono sostanzialmente tre: erogazione acqua, allaccio alla fognatura e depurazione delle acque reflue.</w:t>
      </w:r>
    </w:p>
    <w:p w14:paraId="2F21369A" w14:textId="4854B770" w:rsidR="00EB68C8" w:rsidRDefault="00EB68C8" w:rsidP="00EB68C8">
      <w:pPr>
        <w:jc w:val="both"/>
      </w:pPr>
      <w:r w:rsidRPr="00EB68C8">
        <w:t>Quelli effettivamente rilevanti ai fini dell’applicazione del Canone Unico in base alle disposizioni contenute nel comma 831, e in base ai requisiti oggettivi e soggettivi previsti per definire un servizio pubblico, sono quelli di distribuzione dell’acqua potabile e quello di allaccio alla rete fognaria. Due distinti servizi che vengono erogati alle singole utenze.</w:t>
      </w:r>
    </w:p>
    <w:p w14:paraId="40C6A40C" w14:textId="6E6097D6" w:rsidR="00EB68C8" w:rsidRDefault="00EB68C8" w:rsidP="00EB68C8">
      <w:pPr>
        <w:jc w:val="both"/>
      </w:pPr>
      <w:r>
        <w:t>In particolare, con il servizio di acquedotto si intende l’insieme dei servizi pubblici di captazione, adduzione, potabilizzazione, distribuzione dell’acqua destinata al consumo umano. In questo caso l'allacciamento idrico è l'operazione che consente di collegare l'impianto della singola utenza alla rete locale di acquedotto.</w:t>
      </w:r>
    </w:p>
    <w:p w14:paraId="5BD4E2C9" w14:textId="215F6BF7" w:rsidR="00EB68C8" w:rsidRDefault="00EB68C8" w:rsidP="00EB68C8">
      <w:pPr>
        <w:jc w:val="both"/>
      </w:pPr>
      <w:r>
        <w:t>Con il servizio di fognatura si intende invece l’insieme dei servizi pubblici di collettamento e allontanamento di acque reflue urbane e di dilavamento meteorico. L'allacciamento fognario riguarda invece il collegamento tra il punto di scarico della fognatura e la pubblica fognatura.</w:t>
      </w:r>
    </w:p>
    <w:p w14:paraId="293FDEC9" w14:textId="2A2905DC" w:rsidR="00EB68C8" w:rsidRDefault="00EB68C8" w:rsidP="00EB68C8">
      <w:pPr>
        <w:jc w:val="both"/>
        <w:rPr>
          <w:b/>
          <w:bCs/>
        </w:rPr>
      </w:pPr>
      <w:r w:rsidRPr="00EB68C8">
        <w:rPr>
          <w:b/>
          <w:bCs/>
        </w:rPr>
        <w:t>Le motivazioni della sentenza</w:t>
      </w:r>
    </w:p>
    <w:p w14:paraId="65170BE2" w14:textId="4378BF8E" w:rsidR="00EB68C8" w:rsidRDefault="00EB68C8" w:rsidP="00EB68C8">
      <w:pPr>
        <w:jc w:val="both"/>
      </w:pPr>
      <w:r>
        <w:t xml:space="preserve">Definito il perimetro di applicazione del canone in relazione all’erogazione dei servizi legati al Ciclo Idrico Integrato, andiamo ad analizzare la sentenza della Corte d’Appello di Venezia che fonda la sua </w:t>
      </w:r>
      <w:r w:rsidR="00550803">
        <w:t>decisione</w:t>
      </w:r>
      <w:r>
        <w:t xml:space="preserve"> accogliendo la posizione del concessionario del Comune e riconoscendo al gestore del servizio idrico la soggettività passiva al CUP.</w:t>
      </w:r>
    </w:p>
    <w:p w14:paraId="372C08BE" w14:textId="55DB088B" w:rsidR="0092296B" w:rsidRDefault="0092296B" w:rsidP="00EB68C8">
      <w:pPr>
        <w:jc w:val="both"/>
      </w:pPr>
      <w:r>
        <w:t>Due le questioni principali da valutare</w:t>
      </w:r>
      <w:r w:rsidR="00CD45C7">
        <w:t xml:space="preserve"> che sono essenzialmente</w:t>
      </w:r>
      <w:r>
        <w:t xml:space="preserve"> riconducibili a</w:t>
      </w:r>
      <w:r w:rsidR="00CD45C7">
        <w:t>d</w:t>
      </w:r>
      <w:r>
        <w:t xml:space="preserve"> un </w:t>
      </w:r>
      <w:r w:rsidR="00936631">
        <w:t xml:space="preserve">ipotetico </w:t>
      </w:r>
      <w:r>
        <w:t>requisito “</w:t>
      </w:r>
      <w:r w:rsidR="00CD45C7">
        <w:t>s</w:t>
      </w:r>
      <w:r>
        <w:t>oggettivo” e a</w:t>
      </w:r>
      <w:r w:rsidR="00CD45C7">
        <w:t>d</w:t>
      </w:r>
      <w:r>
        <w:t xml:space="preserve"> uno “oggettivo”</w:t>
      </w:r>
      <w:r w:rsidR="00CD45C7">
        <w:t xml:space="preserve">. </w:t>
      </w:r>
      <w:r w:rsidR="00CD45C7" w:rsidRPr="00CD45C7">
        <w:t xml:space="preserve">Si discute </w:t>
      </w:r>
      <w:r w:rsidR="00CD45C7">
        <w:t xml:space="preserve">infatti </w:t>
      </w:r>
      <w:r w:rsidR="00CD45C7" w:rsidRPr="00CD45C7">
        <w:t xml:space="preserve">se operi nel caso di specie una delle ipotesi di esenzione previste </w:t>
      </w:r>
      <w:r w:rsidR="00CD45C7">
        <w:t xml:space="preserve">rispettivamente </w:t>
      </w:r>
      <w:r w:rsidR="00936631">
        <w:t xml:space="preserve">alla </w:t>
      </w:r>
      <w:r w:rsidR="00CD45C7" w:rsidRPr="00CD45C7">
        <w:t>lett</w:t>
      </w:r>
      <w:r w:rsidR="00936631">
        <w:t>era</w:t>
      </w:r>
      <w:r w:rsidR="00CD45C7" w:rsidRPr="00CD45C7">
        <w:t xml:space="preserve"> </w:t>
      </w:r>
      <w:r w:rsidR="00CD45C7">
        <w:t>A</w:t>
      </w:r>
      <w:r w:rsidR="00CD45C7" w:rsidRPr="00CD45C7">
        <w:t xml:space="preserve">) e </w:t>
      </w:r>
      <w:r w:rsidR="00CD45C7">
        <w:t>lettera D</w:t>
      </w:r>
      <w:r w:rsidR="00CD45C7" w:rsidRPr="00CD45C7">
        <w:t>)</w:t>
      </w:r>
      <w:r w:rsidR="00936631">
        <w:t xml:space="preserve"> </w:t>
      </w:r>
      <w:r w:rsidR="00936631" w:rsidRPr="00CD45C7">
        <w:t>d</w:t>
      </w:r>
      <w:r w:rsidR="00936631">
        <w:t>e</w:t>
      </w:r>
      <w:r w:rsidR="00936631" w:rsidRPr="00CD45C7">
        <w:t>l</w:t>
      </w:r>
      <w:r w:rsidR="00936631">
        <w:t xml:space="preserve"> </w:t>
      </w:r>
      <w:r w:rsidR="00936631" w:rsidRPr="00CD45C7">
        <w:t>comma 833</w:t>
      </w:r>
      <w:r w:rsidR="00936631">
        <w:t>, articolo 1 L. 160/2019</w:t>
      </w:r>
      <w:r w:rsidR="00CD45C7" w:rsidRPr="00CD45C7">
        <w:t>.</w:t>
      </w:r>
    </w:p>
    <w:p w14:paraId="7D6F6BF6" w14:textId="36D9667A" w:rsidR="00CA623B" w:rsidRPr="00CA623B" w:rsidRDefault="00CA623B" w:rsidP="00EB68C8">
      <w:pPr>
        <w:jc w:val="both"/>
        <w:rPr>
          <w:b/>
          <w:bCs/>
        </w:rPr>
      </w:pPr>
      <w:r>
        <w:rPr>
          <w:b/>
          <w:bCs/>
        </w:rPr>
        <w:t>Carenza di r</w:t>
      </w:r>
      <w:r w:rsidRPr="00CA623B">
        <w:rPr>
          <w:b/>
          <w:bCs/>
        </w:rPr>
        <w:t xml:space="preserve">equisito soggettivo </w:t>
      </w:r>
    </w:p>
    <w:p w14:paraId="26423B3D" w14:textId="1C9E3BF8" w:rsidR="00CD45C7" w:rsidRDefault="00CD45C7" w:rsidP="00EB68C8">
      <w:pPr>
        <w:jc w:val="both"/>
      </w:pPr>
      <w:r>
        <w:t xml:space="preserve">Sul tema del </w:t>
      </w:r>
      <w:r w:rsidR="00CA623B">
        <w:t>requisito</w:t>
      </w:r>
      <w:r>
        <w:t xml:space="preserve"> soggettivo, ovvero se ricorrano le condizioni per applicare l’esenzione di cui alla lettera A del comma 833 i </w:t>
      </w:r>
      <w:r w:rsidR="00CA623B">
        <w:t>g</w:t>
      </w:r>
      <w:r>
        <w:t>iudici</w:t>
      </w:r>
      <w:r w:rsidR="00CA623B">
        <w:t xml:space="preserve"> di Venezia</w:t>
      </w:r>
      <w:r>
        <w:t xml:space="preserve"> scrivono: </w:t>
      </w:r>
    </w:p>
    <w:p w14:paraId="2ADAAFD9" w14:textId="77777777" w:rsidR="00CA623B" w:rsidRPr="00CA623B" w:rsidRDefault="00CD45C7" w:rsidP="00CA623B">
      <w:pPr>
        <w:jc w:val="both"/>
        <w:rPr>
          <w:i/>
          <w:iCs/>
        </w:rPr>
      </w:pPr>
      <w:r w:rsidRPr="00CA623B">
        <w:rPr>
          <w:i/>
          <w:iCs/>
        </w:rPr>
        <w:t>“</w:t>
      </w:r>
      <w:r w:rsidR="00CA623B" w:rsidRPr="00CA623B">
        <w:rPr>
          <w:i/>
          <w:iCs/>
        </w:rPr>
        <w:t>4.1.</w:t>
      </w:r>
      <w:r w:rsidR="00CA623B" w:rsidRPr="00CA623B">
        <w:rPr>
          <w:b/>
          <w:bCs/>
          <w:i/>
          <w:iCs/>
        </w:rPr>
        <w:t xml:space="preserve"> </w:t>
      </w:r>
      <w:r w:rsidR="00CA623B" w:rsidRPr="00CA623B">
        <w:rPr>
          <w:i/>
          <w:iCs/>
        </w:rPr>
        <w:t>Va allora osservato che ai fini della lettera a) rileva unicamente la qualità soggettiva dell’ente e l’esenzione postula che l’occupazione sia fatta proprio da un soggetto esente tra quelli tassativamente individuati dalla norma ovvero “dallo Stato, dalle regioni, province, città metropolitane, comuni e loro consorzi, da enti religiosi per l'esercizio di culti ammessi nello Stato, da enti pubblici di cui all'articolo 73, comma 1, lettera c), del testo unico delle imposte sui redditi, di cui al decreto del Presidente della Repubblica</w:t>
      </w:r>
      <w:r w:rsidR="00CA623B">
        <w:rPr>
          <w:i/>
          <w:iCs/>
        </w:rPr>
        <w:t xml:space="preserve"> </w:t>
      </w:r>
      <w:r w:rsidR="00CA623B" w:rsidRPr="00CA623B">
        <w:rPr>
          <w:i/>
          <w:iCs/>
        </w:rPr>
        <w:t xml:space="preserve">22 dicembre 1986, n. 917, per finalità specifiche di assistenza, previdenza, sanità, educazione, cultura e ricerca scientifica”. </w:t>
      </w:r>
    </w:p>
    <w:p w14:paraId="178020C0" w14:textId="6640ACD0" w:rsidR="00CD45C7" w:rsidRDefault="00CA623B" w:rsidP="00CA623B">
      <w:pPr>
        <w:jc w:val="both"/>
        <w:rPr>
          <w:i/>
          <w:iCs/>
        </w:rPr>
      </w:pPr>
      <w:r w:rsidRPr="00CA623B">
        <w:rPr>
          <w:i/>
          <w:iCs/>
        </w:rPr>
        <w:t xml:space="preserve">L’ipotesi di esenzione è di stretta interpretazione (in tal senso è pacifica la Cassazione formatasi in relazione alla analoga fattispecie prevista dall’art. 49 co. 1 A d.lgs. 507/1993, </w:t>
      </w:r>
      <w:proofErr w:type="spellStart"/>
      <w:r w:rsidRPr="00CA623B">
        <w:rPr>
          <w:i/>
          <w:iCs/>
        </w:rPr>
        <w:t>cfr.da</w:t>
      </w:r>
      <w:proofErr w:type="spellEnd"/>
      <w:r w:rsidRPr="00CA623B">
        <w:rPr>
          <w:i/>
          <w:iCs/>
        </w:rPr>
        <w:t xml:space="preserve"> ultimo </w:t>
      </w:r>
      <w:proofErr w:type="spellStart"/>
      <w:r w:rsidRPr="00CA623B">
        <w:rPr>
          <w:i/>
          <w:iCs/>
        </w:rPr>
        <w:t>Cass.sez</w:t>
      </w:r>
      <w:proofErr w:type="spellEnd"/>
      <w:r w:rsidRPr="00CA623B">
        <w:rPr>
          <w:i/>
          <w:iCs/>
        </w:rPr>
        <w:t xml:space="preserve">. </w:t>
      </w:r>
      <w:proofErr w:type="spellStart"/>
      <w:r w:rsidRPr="00CA623B">
        <w:rPr>
          <w:i/>
          <w:iCs/>
        </w:rPr>
        <w:t>trib</w:t>
      </w:r>
      <w:proofErr w:type="spellEnd"/>
      <w:r w:rsidRPr="00CA623B">
        <w:rPr>
          <w:i/>
          <w:iCs/>
        </w:rPr>
        <w:t xml:space="preserve">. n.3328 del 10/02/2025) e non può essere estesa al soggetto gestore del servizio, nemmeno laddove si tratti di affidamento in house, che, come chiarito dalla giurisprudenza di legittimità, non incide sull'alterità soggettiva della società rispetto all'amministrazione pubblica, in quanto la società in house rappresenta pur sempre un centro di imputazione di rapporti e posizioni giuridiche soggettive diverso dall'ente partecipante (Cass. sez. </w:t>
      </w:r>
      <w:proofErr w:type="spellStart"/>
      <w:r w:rsidRPr="00CA623B">
        <w:rPr>
          <w:i/>
          <w:iCs/>
        </w:rPr>
        <w:t>trib</w:t>
      </w:r>
      <w:proofErr w:type="spellEnd"/>
      <w:r w:rsidRPr="00CA623B">
        <w:rPr>
          <w:i/>
          <w:iCs/>
        </w:rPr>
        <w:t xml:space="preserve">. n.3636 del 12/02/2025; sez. </w:t>
      </w:r>
      <w:proofErr w:type="spellStart"/>
      <w:r w:rsidRPr="00CA623B">
        <w:rPr>
          <w:i/>
          <w:iCs/>
        </w:rPr>
        <w:t>trib</w:t>
      </w:r>
      <w:proofErr w:type="spellEnd"/>
      <w:r w:rsidRPr="00CA623B">
        <w:rPr>
          <w:i/>
          <w:iCs/>
        </w:rPr>
        <w:t>. n.34267 del 24/12/2024) e, dunque, non si configura l'occupazione diretta "da parte del comune" quale soggetto ex lege esente.</w:t>
      </w:r>
    </w:p>
    <w:p w14:paraId="1B5416A9" w14:textId="59C972D2" w:rsidR="00CA623B" w:rsidRDefault="00CA623B" w:rsidP="00CA623B">
      <w:pPr>
        <w:jc w:val="both"/>
        <w:rPr>
          <w:i/>
          <w:iCs/>
        </w:rPr>
      </w:pPr>
      <w:r w:rsidRPr="00CA623B">
        <w:rPr>
          <w:i/>
          <w:iCs/>
        </w:rPr>
        <w:t>Quindi, l’esenzione di cui alla art. 1 comma 833 lett. a) non opera nel caso di specie.</w:t>
      </w:r>
      <w:r>
        <w:rPr>
          <w:i/>
          <w:iCs/>
        </w:rPr>
        <w:t>”</w:t>
      </w:r>
    </w:p>
    <w:p w14:paraId="62D762EF" w14:textId="77777777" w:rsidR="00CC2824" w:rsidRDefault="00CC2824" w:rsidP="00CA623B">
      <w:pPr>
        <w:jc w:val="both"/>
      </w:pPr>
      <w:r>
        <w:t xml:space="preserve">Si riporta un estratto della sentenza di Corte di Cassazione </w:t>
      </w:r>
      <w:r w:rsidRPr="00CC2824">
        <w:t>n.3636 del 12/02/2025</w:t>
      </w:r>
      <w:r>
        <w:t xml:space="preserve"> richiamata dai Giudici della Corte d’Appello nella quale si legge: </w:t>
      </w:r>
    </w:p>
    <w:p w14:paraId="5648A56C" w14:textId="0B51F958" w:rsidR="00CC2824" w:rsidRDefault="00CC2824" w:rsidP="00CA623B">
      <w:pPr>
        <w:jc w:val="both"/>
        <w:rPr>
          <w:i/>
          <w:iCs/>
        </w:rPr>
      </w:pPr>
      <w:r>
        <w:lastRenderedPageBreak/>
        <w:t>“</w:t>
      </w:r>
      <w:r w:rsidRPr="00CC2824">
        <w:rPr>
          <w:i/>
          <w:iCs/>
        </w:rPr>
        <w:t xml:space="preserve">9.2. Il concessionario non può essere considerato longa manus dell'Amministrazione pubblica neppure laddove ricorrano i requisiti </w:t>
      </w:r>
      <w:proofErr w:type="spellStart"/>
      <w:r w:rsidRPr="00CC2824">
        <w:rPr>
          <w:i/>
          <w:iCs/>
        </w:rPr>
        <w:t>dell'in</w:t>
      </w:r>
      <w:proofErr w:type="spellEnd"/>
      <w:r w:rsidRPr="00CC2824">
        <w:rPr>
          <w:i/>
          <w:iCs/>
        </w:rPr>
        <w:t xml:space="preserve"> house </w:t>
      </w:r>
      <w:proofErr w:type="spellStart"/>
      <w:r w:rsidRPr="00CC2824">
        <w:rPr>
          <w:i/>
          <w:iCs/>
        </w:rPr>
        <w:t>providing</w:t>
      </w:r>
      <w:proofErr w:type="spellEnd"/>
      <w:r w:rsidRPr="00CC2824">
        <w:rPr>
          <w:i/>
          <w:iCs/>
        </w:rPr>
        <w:t>, come configurati dalla giurisprudenza e dalle direttive comunitarie e come recepiti dalla nostra legislazione</w:t>
      </w:r>
      <w:r>
        <w:rPr>
          <w:i/>
          <w:iCs/>
        </w:rPr>
        <w:t xml:space="preserve"> </w:t>
      </w:r>
      <w:r w:rsidRPr="00CC2824">
        <w:rPr>
          <w:i/>
          <w:iCs/>
        </w:rPr>
        <w:t xml:space="preserve">e, cioè, in particolare allorquando ricorrano i requisiti del controllo analogo (ovvero di un controllo pubblico analogo a quello esercitato dall'amministrazione sulle proprie strutture) e della destinazione dell'oltre l'80% delle attività della persona giuridica controllata allo svolgimento dei compiti ad essa affidati dall'amministrazione aggiudicatrice controllante o da soggetti dalla stessa controllati( cfr. art. 178 del d.lgs. 18 aprile 2016 n. 50, cd. codice degli appalti, abrogato dal d.lgs. 31 marzo 2023, n. 36; Cass. n. 25614/2024). Il controllo pubblico dominante, per quanto svolto attraverso strumenti derogatori rispetto agli ordinari meccanismi di funzionamento sociale, non incide sull'alterità soggettiva della società rispetto all'amministrazione pubblica, in quanto la società in house rappresenta pur sempre un centro di imputazione di rapporti e posizioni giuridiche soggettive diverso dall'ente partecipante (Cass., sez. un., n. 7759/17; n. 21299/17; n. 7222/18 e, in particolare, Cass. n. 5346/19, Cass. n. 21658/21; </w:t>
      </w:r>
      <w:proofErr w:type="spellStart"/>
      <w:r w:rsidRPr="00CC2824">
        <w:rPr>
          <w:i/>
          <w:iCs/>
        </w:rPr>
        <w:t>Cass.n</w:t>
      </w:r>
      <w:proofErr w:type="spellEnd"/>
      <w:r w:rsidRPr="00CC2824">
        <w:rPr>
          <w:i/>
          <w:iCs/>
        </w:rPr>
        <w:t xml:space="preserve">. 2164/2024; Cass. n. 464/2024; Cass. n. 2463/2024, n. 2463 secondo cui il canone per l'occupazione di spazi e aree pubbliche è sempre dovuto dalla concessionaria incaricata della gestione del servizio autostradale in relazione al viadotto ricompreso nell'infrastruttura, poiché il fine e il vincolo di natura pubblicistica che pur contrassegnano l'opera gestita non valgono a rendere la concessionaria - che persegue in autonomia un proprio fine di lucro - una mera "longa manus" dell'amministrazione statale, non potendo perciò fruire delle esenzioni riservate alle occupazioni di suolo attuate da parte di quest'ultima). </w:t>
      </w:r>
      <w:r>
        <w:rPr>
          <w:i/>
          <w:iCs/>
        </w:rPr>
        <w:t xml:space="preserve"> </w:t>
      </w:r>
    </w:p>
    <w:p w14:paraId="7C0E456B" w14:textId="01A3FDF3" w:rsidR="00CC2824" w:rsidRDefault="00CC2824" w:rsidP="00CA623B">
      <w:pPr>
        <w:jc w:val="both"/>
      </w:pPr>
      <w:r>
        <w:t xml:space="preserve">Anche la sentenza di Corte di Cassazione numero </w:t>
      </w:r>
      <w:r w:rsidRPr="00CC2824">
        <w:t>16866 del 23.6.2025</w:t>
      </w:r>
      <w:r>
        <w:t xml:space="preserve"> chiarisce bene questo concetto: </w:t>
      </w:r>
    </w:p>
    <w:p w14:paraId="3FCEDAEC" w14:textId="478504DA" w:rsidR="00CC2824" w:rsidRPr="00CC2824" w:rsidRDefault="00CC2824" w:rsidP="00CA623B">
      <w:pPr>
        <w:jc w:val="both"/>
        <w:rPr>
          <w:i/>
          <w:iCs/>
        </w:rPr>
      </w:pPr>
      <w:r>
        <w:rPr>
          <w:i/>
          <w:iCs/>
        </w:rPr>
        <w:t>“</w:t>
      </w:r>
      <w:r w:rsidRPr="00CC2824">
        <w:rPr>
          <w:i/>
          <w:iCs/>
        </w:rPr>
        <w:t>Va, pertanto, ribadito il principio secondo cui l'esenzione prevista per lo Stato e per gli altri enti pubblici dall'art. 49, comma 1, lett. a), del d.lgs. n. 507 del 1993, postula che l'occupazione sia ascrivibile al soggetto esente, sicché ove la stessa avvenga ad opera della società concessionaria per la realizzazione e la gestione di un'opera pubblica, alla stessa non spetta l'esenzione, senza che assuma rilevanza che l'opera sia di proprietà dello Stato, al quale ritornerà la gestione al termine della concessione, tenuto conto delle finalità lucrative dell'attività d'impresa svolta da una società di capitali (Cass., Sez. 5, Sentenza n. 11886 del 12/05/2017; Cass., Sez. 6 - 5, Ordinanza n. 19693 del 25/07/2018).</w:t>
      </w:r>
      <w:r>
        <w:rPr>
          <w:i/>
          <w:iCs/>
        </w:rPr>
        <w:t>”</w:t>
      </w:r>
    </w:p>
    <w:p w14:paraId="5189462B" w14:textId="1A55CA3F" w:rsidR="00CA623B" w:rsidRDefault="00CA623B" w:rsidP="00CA623B">
      <w:pPr>
        <w:jc w:val="both"/>
        <w:rPr>
          <w:b/>
          <w:bCs/>
        </w:rPr>
      </w:pPr>
      <w:r>
        <w:rPr>
          <w:b/>
          <w:bCs/>
        </w:rPr>
        <w:t>Carenza di r</w:t>
      </w:r>
      <w:r w:rsidRPr="00CA623B">
        <w:rPr>
          <w:b/>
          <w:bCs/>
        </w:rPr>
        <w:t xml:space="preserve">equisito oggettivo </w:t>
      </w:r>
    </w:p>
    <w:p w14:paraId="646BA4B0" w14:textId="45EB1CDC" w:rsidR="00CA623B" w:rsidRDefault="00CA623B" w:rsidP="00CA623B">
      <w:pPr>
        <w:jc w:val="both"/>
      </w:pPr>
      <w:r>
        <w:t xml:space="preserve">Sul tema del requisito oggettivo, ovvero se ricorrano le condizioni per applicare l’esenzione di cui alla lettera D del comma 833 i giudici di Venezia scrivono: </w:t>
      </w:r>
    </w:p>
    <w:p w14:paraId="5013E4A1" w14:textId="77777777" w:rsidR="00CA623B" w:rsidRPr="00CA623B" w:rsidRDefault="00CA623B" w:rsidP="00CA623B">
      <w:pPr>
        <w:jc w:val="both"/>
        <w:rPr>
          <w:i/>
          <w:iCs/>
        </w:rPr>
      </w:pPr>
      <w:r w:rsidRPr="00CA623B">
        <w:rPr>
          <w:i/>
          <w:iCs/>
        </w:rPr>
        <w:t xml:space="preserve">“4.2. L’art. 1 comma 833 lettera d) prevede l’esenzione dal canone per “le occupazioni con impianti adibiti ai servizi pubblici nei casi in cui ne sia prevista, all'atto della concessione o successivamente, la devoluzione gratuita al comune al termine della concessione medesima”. </w:t>
      </w:r>
    </w:p>
    <w:p w14:paraId="2636D453" w14:textId="77777777" w:rsidR="00CA623B" w:rsidRPr="00CA623B" w:rsidRDefault="00CA623B" w:rsidP="00CA623B">
      <w:pPr>
        <w:jc w:val="both"/>
        <w:rPr>
          <w:i/>
          <w:iCs/>
        </w:rPr>
      </w:pPr>
      <w:r w:rsidRPr="00CA623B">
        <w:rPr>
          <w:i/>
          <w:iCs/>
        </w:rPr>
        <w:t xml:space="preserve">Ai fini della lettera d) rileva che l'occupazione sia effettuata dalla società appaltatrice con propri impianti adibiti al servizio - consistenti nel complesso di attrezzature e macchine necessarie all'impresa concessionaria per lo svolgimento dell'attività - ed il fatto che di essi sia prevista “all'atto della concessione o successivamente, la devoluzione gratuita al Comune o alla Provincia al termine della concessione medesima” (Cassazione civile sez. </w:t>
      </w:r>
      <w:proofErr w:type="spellStart"/>
      <w:r w:rsidRPr="00CA623B">
        <w:rPr>
          <w:i/>
          <w:iCs/>
        </w:rPr>
        <w:t>trib</w:t>
      </w:r>
      <w:proofErr w:type="spellEnd"/>
      <w:r w:rsidRPr="00CA623B">
        <w:rPr>
          <w:i/>
          <w:iCs/>
        </w:rPr>
        <w:t xml:space="preserve">., 12/09/2012, n.15247 con riferimento alla analoga esenzione precedentemente prevista dall’art. 49 e) D.lgs.507/1993). </w:t>
      </w:r>
    </w:p>
    <w:p w14:paraId="207C33D8" w14:textId="77777777" w:rsidR="00CA623B" w:rsidRPr="00CA623B" w:rsidRDefault="00CA623B" w:rsidP="00CA623B">
      <w:pPr>
        <w:jc w:val="both"/>
        <w:rPr>
          <w:i/>
          <w:iCs/>
        </w:rPr>
      </w:pPr>
      <w:r w:rsidRPr="00CA623B">
        <w:rPr>
          <w:i/>
          <w:iCs/>
        </w:rPr>
        <w:t xml:space="preserve">L’esenzione, infatti, “trova il suo essenziale presupposto nel fatto che, al termine del rapporto concessorio, gli impianti che sono serviti allo svolgimento del pubblico servizio, e che hanno dato luogo ad occupazione di suolo pubblico, restino devoluti definitivamente ad un ente pubblico territoriale (beneficiario del gettito del tributo), sia esso - indifferentemente - un Comune o una Provincia. La ratio di tale previsione normativa è del tutto evidente. Essa risiede, invero, nel fatto che, in conseguenza della pattuizione intercorsa tra concedente e concessionario, viene a cadere - con riferimento al momento finale del rapporto di concessione - il presupposto essenziale per l'applicazione del tributo, costituito dal beneficio arrecato al contribuente </w:t>
      </w:r>
      <w:r w:rsidRPr="00CA623B">
        <w:rPr>
          <w:i/>
          <w:iCs/>
        </w:rPr>
        <w:lastRenderedPageBreak/>
        <w:t xml:space="preserve">dall'occupazione di uno spazio sul suolo pubblico, sottratto così all'uso collettivo” (Cass. sez. </w:t>
      </w:r>
      <w:proofErr w:type="spellStart"/>
      <w:r w:rsidRPr="00CA623B">
        <w:rPr>
          <w:i/>
          <w:iCs/>
        </w:rPr>
        <w:t>trib</w:t>
      </w:r>
      <w:proofErr w:type="spellEnd"/>
      <w:r w:rsidRPr="00CA623B">
        <w:rPr>
          <w:i/>
          <w:iCs/>
        </w:rPr>
        <w:t xml:space="preserve">., n.15247/2012 cit.). </w:t>
      </w:r>
    </w:p>
    <w:p w14:paraId="26FCDDC9" w14:textId="4ADE8563" w:rsidR="00CA623B" w:rsidRDefault="00CA623B" w:rsidP="00CA623B">
      <w:pPr>
        <w:jc w:val="both"/>
        <w:rPr>
          <w:i/>
          <w:iCs/>
        </w:rPr>
      </w:pPr>
      <w:r w:rsidRPr="00CA623B">
        <w:rPr>
          <w:i/>
          <w:iCs/>
        </w:rPr>
        <w:t>Si deve escludere che l’esenzione operi qualora i beni utilizzati per lo svolgimento del servizio siano già di proprietà dell’ente pubblico (nel caso di specie il comune) e vengano semplicemente concessi in uso e poi restituiti al termine della concessione, perché il presupposto dell’esenzione è che la società concessionaria effettui</w:t>
      </w:r>
      <w:r>
        <w:rPr>
          <w:i/>
          <w:iCs/>
        </w:rPr>
        <w:t xml:space="preserve"> </w:t>
      </w:r>
      <w:r w:rsidRPr="00CA623B">
        <w:rPr>
          <w:i/>
          <w:iCs/>
        </w:rPr>
        <w:t xml:space="preserve">l’occupazione con impianti adibiti al servizio pubblico di sua realizzazione, che, poi, al termine, vengono devoluti gratuitamente al Comune, perché non possono essere ceduti gratuitamente al Comune beni di cui l’ente pubblico è già proprietario. Quindi, nel caso in cui il concessionario si limiti a restituire al Comune beni già di proprietà dell'ente pubblico territoriale (oggetto solo di attività di manutenzione nel corso del rapporto) l’esenzione non opera (in tal senso </w:t>
      </w:r>
      <w:proofErr w:type="spellStart"/>
      <w:r w:rsidRPr="00CA623B">
        <w:rPr>
          <w:i/>
          <w:iCs/>
        </w:rPr>
        <w:t>Cass.sez</w:t>
      </w:r>
      <w:proofErr w:type="spellEnd"/>
      <w:r w:rsidRPr="00CA623B">
        <w:rPr>
          <w:i/>
          <w:iCs/>
        </w:rPr>
        <w:t xml:space="preserve">. </w:t>
      </w:r>
      <w:proofErr w:type="spellStart"/>
      <w:r w:rsidRPr="00CA623B">
        <w:rPr>
          <w:i/>
          <w:iCs/>
        </w:rPr>
        <w:t>trib</w:t>
      </w:r>
      <w:proofErr w:type="spellEnd"/>
      <w:r w:rsidRPr="00CA623B">
        <w:rPr>
          <w:i/>
          <w:iCs/>
        </w:rPr>
        <w:t>. nr.16866 del 23.6.2025).</w:t>
      </w:r>
    </w:p>
    <w:p w14:paraId="1503A2DA" w14:textId="6D22E467" w:rsidR="00F179BE" w:rsidRDefault="00F179BE" w:rsidP="00CA623B">
      <w:pPr>
        <w:jc w:val="both"/>
      </w:pPr>
      <w:r>
        <w:t>Interessante infine la riflessione che i Giudici fanno in relazione alla prova della devoluzione che il gestore sostiene essersi realizzata per effetto degli articoli 151 e 172 del TU Ambiente. Sulla specifica questione i giudici affermano:</w:t>
      </w:r>
    </w:p>
    <w:p w14:paraId="522EC84A" w14:textId="77777777" w:rsidR="00F179BE" w:rsidRPr="00F179BE" w:rsidRDefault="00F179BE" w:rsidP="00F179BE">
      <w:pPr>
        <w:jc w:val="both"/>
        <w:rPr>
          <w:i/>
          <w:iCs/>
        </w:rPr>
      </w:pPr>
      <w:r w:rsidRPr="00F179BE">
        <w:rPr>
          <w:i/>
          <w:iCs/>
        </w:rPr>
        <w:t xml:space="preserve">“Tuttavia, si osserva che l’art. 151 co. 2 </w:t>
      </w:r>
      <w:proofErr w:type="spellStart"/>
      <w:r w:rsidRPr="00F179BE">
        <w:rPr>
          <w:i/>
          <w:iCs/>
        </w:rPr>
        <w:t>lett</w:t>
      </w:r>
      <w:proofErr w:type="spellEnd"/>
      <w:r w:rsidRPr="00F179BE">
        <w:rPr>
          <w:i/>
          <w:iCs/>
        </w:rPr>
        <w:t xml:space="preserve"> m, nell’individuare il contenuto obbligatorio delle convenzioni di affidamento, non indica le modalità di restituzione né il destinatario e il riferimento all’art. 143 richiama semplicemente il regime demaniale cui sono sottoposte le infrastrutture di proprietà pubblica. </w:t>
      </w:r>
    </w:p>
    <w:p w14:paraId="67C69799" w14:textId="77777777" w:rsidR="00F179BE" w:rsidRPr="00F179BE" w:rsidRDefault="00F179BE" w:rsidP="00F179BE">
      <w:pPr>
        <w:jc w:val="both"/>
        <w:rPr>
          <w:i/>
          <w:iCs/>
        </w:rPr>
      </w:pPr>
      <w:r w:rsidRPr="00F179BE">
        <w:rPr>
          <w:i/>
          <w:iCs/>
        </w:rPr>
        <w:t xml:space="preserve">L’art. 172 co. 5, che prevede il trasferimento di beni e impianti del gestore uscente all’ente locale concedente “nei limiti e secondo le modalità previsti dalla convenzione”, si riferisce unicamente alle “gestioni esistenti” e fa riferimento ai beni e agli impianti delle imprese già concessionarie (ed è funzionale a predisporre, da parte dell’ente locale, la concessione d’uso gratuita di tali beni ex art. 153, per tutta la durata dell’affidamento, al gestore di ambito del servizio idrico integrato) e, comunque, rimanda, ancora una volta, per le modalità alla convenzione. </w:t>
      </w:r>
    </w:p>
    <w:p w14:paraId="3BE579EC" w14:textId="65B45CD0" w:rsidR="00F179BE" w:rsidRDefault="00F179BE" w:rsidP="00F179BE">
      <w:pPr>
        <w:jc w:val="both"/>
        <w:rPr>
          <w:i/>
          <w:iCs/>
        </w:rPr>
      </w:pPr>
      <w:r w:rsidRPr="00F179BE">
        <w:rPr>
          <w:i/>
          <w:iCs/>
        </w:rPr>
        <w:t>Ne consegue che anche dalla legislazione primaria non si ricava l’automatica devoluzione, ancor meno gratuita, all’ente pubblico degli impianti che il gestore dovesse, in ipotesi, acquisire in proprietà o realizzare in proprio durante la gestione.”</w:t>
      </w:r>
    </w:p>
    <w:p w14:paraId="2E231742" w14:textId="7DEE2806" w:rsidR="00F179BE" w:rsidRDefault="00F179BE" w:rsidP="00F179BE">
      <w:pPr>
        <w:jc w:val="both"/>
        <w:rPr>
          <w:b/>
          <w:bCs/>
        </w:rPr>
      </w:pPr>
      <w:r w:rsidRPr="00F179BE">
        <w:rPr>
          <w:b/>
          <w:bCs/>
        </w:rPr>
        <w:t>Conclusioni</w:t>
      </w:r>
    </w:p>
    <w:p w14:paraId="0AB1D8B3" w14:textId="0796329B" w:rsidR="00F179BE" w:rsidRDefault="00F179BE" w:rsidP="00F179BE">
      <w:pPr>
        <w:jc w:val="both"/>
      </w:pPr>
      <w:r>
        <w:t>La</w:t>
      </w:r>
      <w:r w:rsidRPr="00F179BE">
        <w:t xml:space="preserve"> sentenza </w:t>
      </w:r>
      <w:r>
        <w:t xml:space="preserve">in commento si aggiunge ad altre già pronunciate, come ad esempio quella del </w:t>
      </w:r>
      <w:r w:rsidRPr="00F179BE">
        <w:t>Tribunale di Rovigo del 22 novembre 2024</w:t>
      </w:r>
      <w:r>
        <w:t xml:space="preserve">, dove si chiarisce come i servizi erogati nell’ambito del servizio idrico, anche quando gestiti da società a capitale interamente pubblico, non possano ritenersi esenti dal pagamento del CUP, andando invece a quantificare la speciale tariffa disciplinata al comma 831 della legge 160/2019, che vedrà Comuni e Province beneficiare del gettito, calcolata per le utenze attive dei servizi di acqua potabile e fognatura erogati nell’ambito del territorio di competenza. </w:t>
      </w:r>
      <w:r w:rsidR="00446886">
        <w:t>Non possono trovare applicazione le ipotesi di esenzione disciplinate dalle lettere A e D del comma 833 della Legge 160/2019 sulla base delle quali molte società che gestiscono il servizio idrico si ritengono esonerate dal versamento e dalla dichiarazione delle utenze attive prevista al 30 aprile di ciascun anno.</w:t>
      </w:r>
    </w:p>
    <w:p w14:paraId="01482210" w14:textId="3A45A051" w:rsidR="00F370DF" w:rsidRPr="00F179BE" w:rsidRDefault="00446886" w:rsidP="00F370DF">
      <w:pPr>
        <w:jc w:val="both"/>
      </w:pPr>
      <w:r>
        <w:t>Non resta che invitare tutti gli enti locali coinvolti, Comune e Province ad attivarsi per il recupero di quanto dovuto a titolo di CUP a partire dal 2021 ad oggi</w:t>
      </w:r>
      <w:r w:rsidR="00F370DF">
        <w:t xml:space="preserve"> nei confronti delle 233 società del settore </w:t>
      </w:r>
      <w:r w:rsidR="00F370DF" w:rsidRPr="00F370DF">
        <w:t>censit</w:t>
      </w:r>
      <w:r w:rsidR="00F370DF">
        <w:t>e</w:t>
      </w:r>
      <w:r w:rsidR="00F370DF" w:rsidRPr="00F370DF">
        <w:t xml:space="preserve"> dall’Autorità di Regolazione per Energia Reti e Ambiente (ARERA)</w:t>
      </w:r>
      <w:r w:rsidR="00F370DF">
        <w:t xml:space="preserve"> che </w:t>
      </w:r>
      <w:r w:rsidR="009C2C4B">
        <w:t>vedono in</w:t>
      </w:r>
      <w:r w:rsidR="00F370DF" w:rsidRPr="00F370DF">
        <w:t xml:space="preserve"> prevalenza società organizzate in-house </w:t>
      </w:r>
      <w:proofErr w:type="spellStart"/>
      <w:r w:rsidR="00F370DF" w:rsidRPr="00F370DF">
        <w:t>providing</w:t>
      </w:r>
      <w:proofErr w:type="spellEnd"/>
      <w:r w:rsidR="00F370DF" w:rsidRPr="00F370DF">
        <w:t xml:space="preserve">, ovvero gestori con partecipazione pubblica al 100% i cui soci sono gli stessi enti locali serviti. </w:t>
      </w:r>
    </w:p>
    <w:p w14:paraId="5A17DBF0" w14:textId="77777777" w:rsidR="00F179BE" w:rsidRPr="00F179BE" w:rsidRDefault="00F179BE" w:rsidP="00F179BE">
      <w:pPr>
        <w:jc w:val="both"/>
      </w:pPr>
    </w:p>
    <w:p w14:paraId="77B5F007" w14:textId="77777777" w:rsidR="00CA623B" w:rsidRPr="00CA623B" w:rsidRDefault="00CA623B" w:rsidP="00CA623B">
      <w:pPr>
        <w:jc w:val="both"/>
        <w:rPr>
          <w:i/>
          <w:iCs/>
        </w:rPr>
      </w:pPr>
    </w:p>
    <w:p w14:paraId="3B20439F" w14:textId="77777777" w:rsidR="00EB68C8" w:rsidRPr="00CA623B" w:rsidRDefault="00EB68C8" w:rsidP="00EB68C8">
      <w:pPr>
        <w:jc w:val="both"/>
        <w:rPr>
          <w:i/>
          <w:iCs/>
        </w:rPr>
      </w:pPr>
    </w:p>
    <w:sectPr w:rsidR="00EB68C8" w:rsidRPr="00CA623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le Serif Text">
    <w:altName w:val="Sole Serif Text"/>
    <w:panose1 w:val="00000000000000000000"/>
    <w:charset w:val="00"/>
    <w:family w:val="roman"/>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8FE"/>
    <w:rsid w:val="00060149"/>
    <w:rsid w:val="00163A6F"/>
    <w:rsid w:val="00446886"/>
    <w:rsid w:val="00550803"/>
    <w:rsid w:val="005E6918"/>
    <w:rsid w:val="007B1496"/>
    <w:rsid w:val="00903DDB"/>
    <w:rsid w:val="0092296B"/>
    <w:rsid w:val="00936631"/>
    <w:rsid w:val="009548FE"/>
    <w:rsid w:val="009C2C4B"/>
    <w:rsid w:val="00AF3D0A"/>
    <w:rsid w:val="00CA623B"/>
    <w:rsid w:val="00CC2824"/>
    <w:rsid w:val="00CD45C7"/>
    <w:rsid w:val="00D11790"/>
    <w:rsid w:val="00EB68C8"/>
    <w:rsid w:val="00F179BE"/>
    <w:rsid w:val="00F370D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40DED"/>
  <w15:chartTrackingRefBased/>
  <w15:docId w15:val="{CB315E66-4001-4724-A3CB-866FD99A1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548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9548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9548FE"/>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9548FE"/>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9548FE"/>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9548F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548F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548F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548F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548FE"/>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9548FE"/>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9548FE"/>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9548FE"/>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9548FE"/>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9548F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548F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548F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548FE"/>
    <w:rPr>
      <w:rFonts w:eastAsiaTheme="majorEastAsia" w:cstheme="majorBidi"/>
      <w:color w:val="272727" w:themeColor="text1" w:themeTint="D8"/>
    </w:rPr>
  </w:style>
  <w:style w:type="paragraph" w:styleId="Titolo">
    <w:name w:val="Title"/>
    <w:basedOn w:val="Normale"/>
    <w:next w:val="Normale"/>
    <w:link w:val="TitoloCarattere"/>
    <w:uiPriority w:val="10"/>
    <w:qFormat/>
    <w:rsid w:val="00954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548F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548F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548F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548F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548FE"/>
    <w:rPr>
      <w:i/>
      <w:iCs/>
      <w:color w:val="404040" w:themeColor="text1" w:themeTint="BF"/>
    </w:rPr>
  </w:style>
  <w:style w:type="paragraph" w:styleId="Paragrafoelenco">
    <w:name w:val="List Paragraph"/>
    <w:basedOn w:val="Normale"/>
    <w:uiPriority w:val="34"/>
    <w:qFormat/>
    <w:rsid w:val="009548FE"/>
    <w:pPr>
      <w:ind w:left="720"/>
      <w:contextualSpacing/>
    </w:pPr>
  </w:style>
  <w:style w:type="character" w:styleId="Enfasiintensa">
    <w:name w:val="Intense Emphasis"/>
    <w:basedOn w:val="Carpredefinitoparagrafo"/>
    <w:uiPriority w:val="21"/>
    <w:qFormat/>
    <w:rsid w:val="009548FE"/>
    <w:rPr>
      <w:i/>
      <w:iCs/>
      <w:color w:val="2F5496" w:themeColor="accent1" w:themeShade="BF"/>
    </w:rPr>
  </w:style>
  <w:style w:type="paragraph" w:styleId="Citazioneintensa">
    <w:name w:val="Intense Quote"/>
    <w:basedOn w:val="Normale"/>
    <w:next w:val="Normale"/>
    <w:link w:val="CitazioneintensaCarattere"/>
    <w:uiPriority w:val="30"/>
    <w:qFormat/>
    <w:rsid w:val="009548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9548FE"/>
    <w:rPr>
      <w:i/>
      <w:iCs/>
      <w:color w:val="2F5496" w:themeColor="accent1" w:themeShade="BF"/>
    </w:rPr>
  </w:style>
  <w:style w:type="character" w:styleId="Riferimentointenso">
    <w:name w:val="Intense Reference"/>
    <w:basedOn w:val="Carpredefinitoparagrafo"/>
    <w:uiPriority w:val="32"/>
    <w:qFormat/>
    <w:rsid w:val="009548FE"/>
    <w:rPr>
      <w:b/>
      <w:bCs/>
      <w:smallCaps/>
      <w:color w:val="2F5496" w:themeColor="accent1" w:themeShade="BF"/>
      <w:spacing w:val="5"/>
    </w:rPr>
  </w:style>
  <w:style w:type="paragraph" w:customStyle="1" w:styleId="Default">
    <w:name w:val="Default"/>
    <w:rsid w:val="00EB68C8"/>
    <w:pPr>
      <w:autoSpaceDE w:val="0"/>
      <w:autoSpaceDN w:val="0"/>
      <w:adjustRightInd w:val="0"/>
      <w:spacing w:after="0" w:line="240" w:lineRule="auto"/>
    </w:pPr>
    <w:rPr>
      <w:rFonts w:ascii="Sole Serif Text" w:hAnsi="Sole Serif Text" w:cs="Sole Serif Text"/>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4</Pages>
  <Words>2383</Words>
  <Characters>13589</Characters>
  <Application>Microsoft Office Word</Application>
  <DocSecurity>0</DocSecurity>
  <Lines>113</Lines>
  <Paragraphs>31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9</cp:revision>
  <dcterms:created xsi:type="dcterms:W3CDTF">2026-01-15T07:22:00Z</dcterms:created>
  <dcterms:modified xsi:type="dcterms:W3CDTF">2026-01-16T07:18:00Z</dcterms:modified>
</cp:coreProperties>
</file>