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0FE6D" w14:textId="53F3D53C" w:rsidR="006D1636" w:rsidRPr="00BD3482" w:rsidRDefault="00B06E02">
      <w:pPr>
        <w:rPr>
          <w:b/>
          <w:bCs/>
        </w:rPr>
      </w:pPr>
      <w:r w:rsidRPr="00BD3482">
        <w:rPr>
          <w:b/>
          <w:bCs/>
        </w:rPr>
        <w:t>Titolo: il sistema di riscossione delle entrate locali.</w:t>
      </w:r>
      <w:r w:rsidR="006D2BF2" w:rsidRPr="00BD3482">
        <w:rPr>
          <w:b/>
          <w:bCs/>
        </w:rPr>
        <w:t xml:space="preserve"> </w:t>
      </w:r>
      <w:r w:rsidR="00F66BC7" w:rsidRPr="00BD3482">
        <w:rPr>
          <w:b/>
          <w:bCs/>
        </w:rPr>
        <w:t xml:space="preserve">Il pignoramento </w:t>
      </w:r>
      <w:r w:rsidR="004D25B6">
        <w:rPr>
          <w:b/>
          <w:bCs/>
        </w:rPr>
        <w:t>di fitti e pigioni</w:t>
      </w:r>
      <w:r w:rsidR="00BD3482" w:rsidRPr="00BD3482">
        <w:rPr>
          <w:b/>
          <w:bCs/>
        </w:rPr>
        <w:t xml:space="preserve"> (art. 72</w:t>
      </w:r>
      <w:r w:rsidR="004D25B6">
        <w:rPr>
          <w:b/>
          <w:bCs/>
        </w:rPr>
        <w:t xml:space="preserve"> </w:t>
      </w:r>
      <w:r w:rsidR="00BD3482" w:rsidRPr="00BD3482">
        <w:rPr>
          <w:b/>
          <w:bCs/>
        </w:rPr>
        <w:t>DPR 602/73)</w:t>
      </w:r>
    </w:p>
    <w:p w14:paraId="718A2506" w14:textId="3123A68B" w:rsidR="00E00B22" w:rsidRDefault="00F66BC7" w:rsidP="00F66BC7">
      <w:pPr>
        <w:jc w:val="both"/>
      </w:pPr>
      <w:r>
        <w:t xml:space="preserve">Nel modello di riscossione coattiva </w:t>
      </w:r>
      <w:r w:rsidR="00045870">
        <w:t xml:space="preserve">organizzata </w:t>
      </w:r>
      <w:r>
        <w:t xml:space="preserve">in economia, ovvero senza ricorrere ai servizi </w:t>
      </w:r>
      <w:r w:rsidR="00B75760">
        <w:t>di AdER, l</w:t>
      </w:r>
      <w:r>
        <w:t>’</w:t>
      </w:r>
      <w:r w:rsidR="00B75760">
        <w:t>a</w:t>
      </w:r>
      <w:r>
        <w:t xml:space="preserve">gente della </w:t>
      </w:r>
      <w:r w:rsidR="00B75760">
        <w:t>r</w:t>
      </w:r>
      <w:r>
        <w:t xml:space="preserve">iscossione </w:t>
      </w:r>
      <w:r w:rsidR="00B75760">
        <w:t>N</w:t>
      </w:r>
      <w:r>
        <w:t>azionale, l</w:t>
      </w:r>
      <w:r w:rsidR="00E00B22">
        <w:t>’ente locale,</w:t>
      </w:r>
      <w:r w:rsidR="003C48D8">
        <w:t xml:space="preserve"> </w:t>
      </w:r>
      <w:r w:rsidR="00E00B22">
        <w:t>potrà attivare</w:t>
      </w:r>
      <w:r w:rsidR="003C48D8">
        <w:t>, con il proprio ufficio entrate, le</w:t>
      </w:r>
      <w:r w:rsidR="00E00B22">
        <w:t xml:space="preserve"> procedure cautelari ed esecutive regolate dal DPR 602/73.</w:t>
      </w:r>
      <w:r w:rsidR="004D25B6">
        <w:t xml:space="preserve"> </w:t>
      </w:r>
      <w:r w:rsidR="000422D0">
        <w:t>Opportunità</w:t>
      </w:r>
      <w:r w:rsidR="004D25B6">
        <w:t xml:space="preserve"> </w:t>
      </w:r>
      <w:r w:rsidR="000422D0">
        <w:t xml:space="preserve">già </w:t>
      </w:r>
      <w:r w:rsidR="00B75760">
        <w:t xml:space="preserve">prevista </w:t>
      </w:r>
      <w:r w:rsidR="000422D0">
        <w:t xml:space="preserve">da diversi anni grazie al rafforzamento dell’Ingiunzione fiscale quale provvedimento esecutivo in mano agli enti locali, e </w:t>
      </w:r>
      <w:r w:rsidR="004D25B6">
        <w:t>che ritroviamo anche</w:t>
      </w:r>
      <w:r w:rsidR="000422D0">
        <w:t xml:space="preserve"> oggi </w:t>
      </w:r>
      <w:r w:rsidR="00B75760">
        <w:t xml:space="preserve">con la nuova </w:t>
      </w:r>
      <w:r w:rsidR="004D25B6">
        <w:t xml:space="preserve">disciplina </w:t>
      </w:r>
      <w:r w:rsidR="00B75760">
        <w:t xml:space="preserve">dedicata all’Avviso di </w:t>
      </w:r>
      <w:r w:rsidR="000422D0">
        <w:t>Accertamento</w:t>
      </w:r>
      <w:r w:rsidR="004D25B6">
        <w:t xml:space="preserve"> esecutivo di cui al </w:t>
      </w:r>
      <w:r w:rsidR="00E00B22">
        <w:t>comma 792</w:t>
      </w:r>
      <w:r w:rsidR="003C48D8">
        <w:t xml:space="preserve"> della Legge 160/2019</w:t>
      </w:r>
      <w:r w:rsidR="000422D0">
        <w:t xml:space="preserve">. Il Legislatore ha </w:t>
      </w:r>
      <w:r w:rsidR="00B75760">
        <w:t>voluto</w:t>
      </w:r>
      <w:r w:rsidR="00E00B22">
        <w:t xml:space="preserve"> </w:t>
      </w:r>
      <w:r w:rsidR="000422D0">
        <w:t xml:space="preserve">espressamente </w:t>
      </w:r>
      <w:r w:rsidR="00E00B22">
        <w:t xml:space="preserve">che </w:t>
      </w:r>
      <w:r w:rsidR="00B75760">
        <w:t>“</w:t>
      </w:r>
      <w:r w:rsidR="00E00B22" w:rsidRPr="00F66BC7">
        <w:rPr>
          <w:i/>
          <w:iCs/>
        </w:rPr>
        <w:t xml:space="preserve">gli atti </w:t>
      </w:r>
      <w:r w:rsidR="00B75760">
        <w:rPr>
          <w:i/>
          <w:iCs/>
        </w:rPr>
        <w:t>….</w:t>
      </w:r>
      <w:r w:rsidR="00E00B22" w:rsidRPr="00F66BC7">
        <w:rPr>
          <w:i/>
          <w:iCs/>
        </w:rPr>
        <w:t xml:space="preserve"> </w:t>
      </w:r>
      <w:r w:rsidR="00045870" w:rsidRPr="00F66BC7">
        <w:rPr>
          <w:i/>
          <w:iCs/>
        </w:rPr>
        <w:t xml:space="preserve">costituiscono </w:t>
      </w:r>
      <w:r w:rsidR="00B75760" w:rsidRPr="00F66BC7">
        <w:rPr>
          <w:i/>
          <w:iCs/>
        </w:rPr>
        <w:t>titolo esecutivo idoneo ad attivare le procedure</w:t>
      </w:r>
      <w:r w:rsidR="00E00B22" w:rsidRPr="00F66BC7">
        <w:rPr>
          <w:i/>
          <w:iCs/>
        </w:rPr>
        <w:t xml:space="preserve"> esecutive e cautelari </w:t>
      </w:r>
      <w:r w:rsidR="00005FF6" w:rsidRPr="00F66BC7">
        <w:rPr>
          <w:i/>
          <w:iCs/>
        </w:rPr>
        <w:t>nonché</w:t>
      </w:r>
      <w:r w:rsidR="00E00B22" w:rsidRPr="00F66BC7">
        <w:rPr>
          <w:i/>
          <w:iCs/>
        </w:rPr>
        <w:t xml:space="preserve">' l'indicazione del soggetto che, decorsi sessanta giorni dal termine ultimo per il pagamento, </w:t>
      </w:r>
      <w:r w:rsidR="00B75760" w:rsidRPr="00F66BC7">
        <w:rPr>
          <w:i/>
          <w:iCs/>
        </w:rPr>
        <w:t>procederà alla</w:t>
      </w:r>
      <w:r w:rsidR="00E00B22" w:rsidRPr="00F66BC7">
        <w:rPr>
          <w:i/>
          <w:iCs/>
        </w:rPr>
        <w:t xml:space="preserve"> riscossione delle </w:t>
      </w:r>
      <w:r w:rsidR="00B75760" w:rsidRPr="00F66BC7">
        <w:rPr>
          <w:i/>
          <w:iCs/>
        </w:rPr>
        <w:t>somme richieste</w:t>
      </w:r>
      <w:r w:rsidR="00E00B22" w:rsidRPr="00F66BC7">
        <w:rPr>
          <w:i/>
          <w:iCs/>
        </w:rPr>
        <w:t>,  anche  ai  fini  dell'esecuzione forzata</w:t>
      </w:r>
      <w:r w:rsidR="00B75760">
        <w:rPr>
          <w:i/>
          <w:iCs/>
        </w:rPr>
        <w:t>”</w:t>
      </w:r>
      <w:r w:rsidR="00E00B22" w:rsidRPr="00F66BC7">
        <w:rPr>
          <w:i/>
          <w:iCs/>
        </w:rPr>
        <w:t xml:space="preserve">. </w:t>
      </w:r>
    </w:p>
    <w:p w14:paraId="51171FF1" w14:textId="1AC3762C" w:rsidR="00FE0CA2" w:rsidRDefault="003C48D8" w:rsidP="004D25B6">
      <w:pPr>
        <w:jc w:val="both"/>
      </w:pPr>
      <w:r>
        <w:t>Con l’odierno approfondimento</w:t>
      </w:r>
      <w:r w:rsidR="004D25B6">
        <w:t>,</w:t>
      </w:r>
      <w:r>
        <w:t xml:space="preserve"> </w:t>
      </w:r>
      <w:r w:rsidR="000422D0">
        <w:t xml:space="preserve">dopo aver già dato </w:t>
      </w:r>
      <w:r w:rsidR="00B75760">
        <w:t>analizzato</w:t>
      </w:r>
      <w:r w:rsidR="000422D0">
        <w:t xml:space="preserve"> </w:t>
      </w:r>
      <w:r w:rsidR="00B75760">
        <w:t>i</w:t>
      </w:r>
      <w:r w:rsidR="000422D0">
        <w:t xml:space="preserve">l pignoramento </w:t>
      </w:r>
      <w:r w:rsidR="00B75760">
        <w:t xml:space="preserve">previsto </w:t>
      </w:r>
      <w:r w:rsidR="000422D0">
        <w:t xml:space="preserve">dell’articolo 72.bis, </w:t>
      </w:r>
      <w:r w:rsidR="00B75760">
        <w:t>indaghiamo</w:t>
      </w:r>
      <w:r w:rsidR="00E96677">
        <w:t xml:space="preserve"> </w:t>
      </w:r>
      <w:r w:rsidR="004D25B6">
        <w:t xml:space="preserve">la procedura speciale prevista dall’articolo 72 </w:t>
      </w:r>
      <w:r w:rsidR="00717AF1">
        <w:t>del DPR 602/1972</w:t>
      </w:r>
      <w:r w:rsidR="004D25B6">
        <w:t>, il</w:t>
      </w:r>
      <w:r w:rsidR="000422D0">
        <w:t xml:space="preserve"> cosiddetto </w:t>
      </w:r>
      <w:r w:rsidR="004D25B6">
        <w:t xml:space="preserve"> “Pignoramento di fitti e pigioni”</w:t>
      </w:r>
      <w:r w:rsidR="000422D0">
        <w:t xml:space="preserve"> che troviamo regolato nella S</w:t>
      </w:r>
      <w:r w:rsidR="004D25B6">
        <w:t>ezione III del DPR</w:t>
      </w:r>
      <w:r w:rsidR="000422D0">
        <w:t xml:space="preserve"> dedicata </w:t>
      </w:r>
      <w:r w:rsidR="00B75760">
        <w:t xml:space="preserve">proprio </w:t>
      </w:r>
      <w:r w:rsidR="000422D0">
        <w:t xml:space="preserve">alle </w:t>
      </w:r>
      <w:r w:rsidR="004D25B6">
        <w:t>disposizioni in materia di espropriazioni presso terzi</w:t>
      </w:r>
      <w:r w:rsidR="000422D0">
        <w:t xml:space="preserve">. </w:t>
      </w:r>
    </w:p>
    <w:p w14:paraId="31E7375F" w14:textId="20ECE53B" w:rsidR="004D25B6" w:rsidRDefault="00FE0CA2" w:rsidP="004D25B6">
      <w:pPr>
        <w:jc w:val="both"/>
      </w:pPr>
      <w:r>
        <w:t>L</w:t>
      </w:r>
      <w:r w:rsidR="004D25B6">
        <w:t xml:space="preserve">’articolo 72, in materia di pignoramento recita: </w:t>
      </w:r>
      <w:r w:rsidR="004D25B6" w:rsidRPr="004D25B6">
        <w:rPr>
          <w:i/>
          <w:iCs/>
        </w:rPr>
        <w:t xml:space="preserve">“1.  L'atto  di  pignoramento  di fitti o pigioni dovute da terzi al debitore  iscritto  a ruolo o ai coobbligati contiene, in luogo della citazione  di  cui  al  numero  4)  dell'articolo  543  del codice di procedura  civile, l'ordine all'affittuario o all'inquilino di pagare direttamente  al  concessionario  i  fitti e le pigioni scaduti e non corrisposti  nel termine di quindici giorni dalla notifica ed i fitti e  le  pigioni  a scadere alle rispettive scadenze fino a concorrenza del credito per cui il concessionario procede.   2.  Nel caso di inottemperanza all'ordine di pagamento si procede, </w:t>
      </w:r>
      <w:r w:rsidRPr="004D25B6">
        <w:rPr>
          <w:i/>
          <w:iCs/>
        </w:rPr>
        <w:t>previa citazione</w:t>
      </w:r>
      <w:r w:rsidR="004D25B6" w:rsidRPr="004D25B6">
        <w:rPr>
          <w:i/>
          <w:iCs/>
        </w:rPr>
        <w:t xml:space="preserve"> del terzo intimato e del debitore, secondo le norme del codice di procedura civile.”</w:t>
      </w:r>
    </w:p>
    <w:p w14:paraId="2842C390" w14:textId="2CA70536" w:rsidR="006471DB" w:rsidRDefault="006471DB" w:rsidP="0063305A">
      <w:pPr>
        <w:jc w:val="both"/>
      </w:pPr>
      <w:r>
        <w:t>Si tratta di un procedimento espropriativo, che non trova riscontro nelle norme del diritto ordinario, la cui specificità consiste nell’ingiunzione diretta al terzo di pagare</w:t>
      </w:r>
      <w:r w:rsidR="00B75760">
        <w:t>,</w:t>
      </w:r>
      <w:r>
        <w:t xml:space="preserve"> direttamente all’agente della riscossione procedente</w:t>
      </w:r>
      <w:r w:rsidR="00B75760">
        <w:t>,</w:t>
      </w:r>
      <w:r>
        <w:t xml:space="preserve"> i fitti e le pigioni scaduti nel termine di quindici giorni dalla notifica e quelli successivi alle rispettive scadenze, fino alla concorrenza del credito per cui il concessionario procede.</w:t>
      </w:r>
    </w:p>
    <w:p w14:paraId="03C6E682" w14:textId="28262457" w:rsidR="006471DB" w:rsidRDefault="006471DB" w:rsidP="0063305A">
      <w:pPr>
        <w:jc w:val="both"/>
      </w:pPr>
      <w:r>
        <w:t>Lo stesso meccanismo previsto dal successivo articolo 72-bis</w:t>
      </w:r>
      <w:r w:rsidR="007258A3">
        <w:t>, articolo</w:t>
      </w:r>
      <w:r>
        <w:t xml:space="preserve"> introdotto</w:t>
      </w:r>
      <w:r w:rsidR="00B75760">
        <w:t xml:space="preserve"> dal Legislatore nel 2005 per estendere la procedura speciale del </w:t>
      </w:r>
      <w:r>
        <w:t xml:space="preserve"> pignoramento </w:t>
      </w:r>
      <w:r w:rsidR="00B75760">
        <w:t>verso terzi anche ad altr</w:t>
      </w:r>
      <w:r w:rsidR="007258A3">
        <w:t>e tipologie di</w:t>
      </w:r>
      <w:r>
        <w:t xml:space="preserve"> crediti, come </w:t>
      </w:r>
      <w:r w:rsidR="007258A3">
        <w:t xml:space="preserve">i depositi e i </w:t>
      </w:r>
      <w:r>
        <w:t>cont</w:t>
      </w:r>
      <w:r w:rsidR="007258A3">
        <w:t>i</w:t>
      </w:r>
      <w:r>
        <w:t xml:space="preserve"> corrent</w:t>
      </w:r>
      <w:r w:rsidR="007258A3">
        <w:t>i</w:t>
      </w:r>
      <w:r>
        <w:t xml:space="preserve"> bancari e </w:t>
      </w:r>
      <w:r w:rsidR="007258A3">
        <w:t>gli</w:t>
      </w:r>
      <w:r>
        <w:t xml:space="preserve"> stipendi</w:t>
      </w:r>
      <w:r w:rsidR="007258A3">
        <w:t xml:space="preserve"> dei lavoratori dipendenti</w:t>
      </w:r>
      <w:r>
        <w:t>.</w:t>
      </w:r>
    </w:p>
    <w:p w14:paraId="03C3DF57" w14:textId="396DE6E0" w:rsidR="0063305A" w:rsidRDefault="006471DB" w:rsidP="0063305A">
      <w:pPr>
        <w:jc w:val="both"/>
      </w:pPr>
      <w:r>
        <w:t>È interessante nell’ambito dell’analisi</w:t>
      </w:r>
      <w:r w:rsidR="0063305A">
        <w:t xml:space="preserve"> </w:t>
      </w:r>
      <w:r>
        <w:t>della procedura leggere quanto sostenuto dalla Sup</w:t>
      </w:r>
      <w:r w:rsidR="0063305A">
        <w:t>rema Corte</w:t>
      </w:r>
      <w:r>
        <w:t xml:space="preserve"> di Cassazione con la sentenza n. </w:t>
      </w:r>
      <w:r w:rsidR="0063305A">
        <w:t xml:space="preserve"> 2857/15, secondo cui l’ordine di pagamento diretto, dando inizio alla procedura espropriativa vera e propria, non è solo un atto preordinato all'espropriazione, ma è esso stesso atto iniziale di una procedura esecutiva esattoriale in forza del quale il terzo assume gli obblighi che la legge impone al custode ai sensi dell'art. 546 c.p.c., con riferimento alle somme per le quali il diritto alla percezione sia maturato anteriormente alla data di notifica del pignoramento.</w:t>
      </w:r>
    </w:p>
    <w:p w14:paraId="1F4C0A44" w14:textId="3650CBCA" w:rsidR="00717AF1" w:rsidRDefault="006471DB" w:rsidP="0063305A">
      <w:pPr>
        <w:jc w:val="both"/>
      </w:pPr>
      <w:r>
        <w:t>D</w:t>
      </w:r>
      <w:r w:rsidR="0063305A">
        <w:t xml:space="preserve">al giorno in cui gli è notificato l'ordine di pagamento, il terzo è soggetto </w:t>
      </w:r>
      <w:r w:rsidR="007258A3">
        <w:t xml:space="preserve">quindi </w:t>
      </w:r>
      <w:r w:rsidR="0063305A">
        <w:t>agli obblighi che la legge impone al custode, relativamente alle somme restanti, da lui dovute alle rispettive scadenze, nei limiti di pignorabilità, e fino a concorrenza del credito per cui il concessionario</w:t>
      </w:r>
      <w:r w:rsidR="00B74CAE">
        <w:t xml:space="preserve">, o l’agente della riscossione o il Comune </w:t>
      </w:r>
      <w:r w:rsidR="0063305A">
        <w:t>procede.</w:t>
      </w:r>
    </w:p>
    <w:p w14:paraId="1D797D9E" w14:textId="38635842" w:rsidR="00B74CAE" w:rsidRDefault="00B74CAE" w:rsidP="0063305A">
      <w:pPr>
        <w:jc w:val="both"/>
      </w:pPr>
      <w:r>
        <w:t xml:space="preserve">Il </w:t>
      </w:r>
      <w:r w:rsidRPr="00B74CAE">
        <w:t>pignorament</w:t>
      </w:r>
      <w:r>
        <w:t xml:space="preserve">o in base all’articolo 72, allo stesso modo di quello regolato dall’articolo </w:t>
      </w:r>
      <w:r w:rsidRPr="00B74CAE">
        <w:t>72 bis D.P.R. n. 602/1973</w:t>
      </w:r>
      <w:r>
        <w:t>,</w:t>
      </w:r>
      <w:r w:rsidRPr="00B74CAE">
        <w:t xml:space="preserve"> assicura al</w:t>
      </w:r>
      <w:r>
        <w:t xml:space="preserve">la Pubblica Amministrazione procedente, </w:t>
      </w:r>
      <w:r w:rsidRPr="00B74CAE">
        <w:t>la possibilità di avvalersi di procedure esecutive privilegiate e non riconosciute in godimento a</w:t>
      </w:r>
      <w:r w:rsidR="007258A3">
        <w:t>i</w:t>
      </w:r>
      <w:r w:rsidRPr="00B74CAE">
        <w:t xml:space="preserve"> </w:t>
      </w:r>
      <w:r w:rsidR="007258A3">
        <w:t xml:space="preserve">comuni </w:t>
      </w:r>
      <w:r w:rsidRPr="00B74CAE">
        <w:t>cittadin</w:t>
      </w:r>
      <w:r w:rsidR="007258A3">
        <w:t>i</w:t>
      </w:r>
      <w:r w:rsidR="00FE0CA2">
        <w:t>. Viene così</w:t>
      </w:r>
      <w:r w:rsidRPr="00B74CAE">
        <w:t xml:space="preserve"> perme</w:t>
      </w:r>
      <w:r w:rsidR="00FE0CA2">
        <w:t>sso</w:t>
      </w:r>
      <w:r w:rsidRPr="00B74CAE">
        <w:t xml:space="preserve"> agli Enti pubblici di perseguire le proprie ragioni creditorie direttamente nei confronti dei soggetti terzi senza la necessità di rivolgersi all'Autorità giudiziaria che autorizzi il pagamento al creditore</w:t>
      </w:r>
      <w:r>
        <w:t xml:space="preserve">, velocizzando e semplificando </w:t>
      </w:r>
      <w:r w:rsidR="007258A3">
        <w:t xml:space="preserve">così </w:t>
      </w:r>
      <w:r>
        <w:t>tutta la procedura espropriativa.</w:t>
      </w:r>
    </w:p>
    <w:p w14:paraId="34B8614A" w14:textId="6A65E8A8" w:rsidR="00A55361" w:rsidRDefault="00A55361" w:rsidP="0063305A">
      <w:pPr>
        <w:jc w:val="both"/>
      </w:pPr>
      <w:r w:rsidRPr="00A55361">
        <w:lastRenderedPageBreak/>
        <w:t xml:space="preserve">Solo nel caso di inottemperanza all’ordine di pagamento da parte del terzo si </w:t>
      </w:r>
      <w:r>
        <w:t xml:space="preserve">dovrà aprire </w:t>
      </w:r>
      <w:r w:rsidRPr="00A55361">
        <w:t>la fase giudiziale, dovendosi procedere, previa citazione del terzo intimato e del debitore, secondo le norme previste dal Codice di procedura civile per il pignoramento ordinario</w:t>
      </w:r>
      <w:r>
        <w:t>, così come stabilito dal comma 2 dell’articolo 72.</w:t>
      </w:r>
    </w:p>
    <w:p w14:paraId="629B5BFB" w14:textId="165D6C51" w:rsidR="00A55361" w:rsidRDefault="00884FD4" w:rsidP="0063305A">
      <w:pPr>
        <w:jc w:val="both"/>
      </w:pPr>
      <w:r>
        <w:t xml:space="preserve">Ecco, quindi, che la procedura di espropriazione secondo il rito ordinario rappresenta, per il pignoramento di fitti e pigioni, solo un’ipotesi eventuale e non un’ipotesi alternativa per l’amministrazione che procede, che sarà </w:t>
      </w:r>
      <w:r w:rsidR="007258A3">
        <w:t>pertanto, con</w:t>
      </w:r>
      <w:r>
        <w:t xml:space="preserve"> quest</w:t>
      </w:r>
      <w:r w:rsidR="007258A3">
        <w:t>a</w:t>
      </w:r>
      <w:r>
        <w:t xml:space="preserve"> casi</w:t>
      </w:r>
      <w:r w:rsidR="007258A3">
        <w:t>stica,</w:t>
      </w:r>
      <w:r>
        <w:t xml:space="preserve"> sempre chiamata a seguire</w:t>
      </w:r>
      <w:r w:rsidR="00FE0CA2">
        <w:t xml:space="preserve"> prioritariamente</w:t>
      </w:r>
      <w:r>
        <w:t xml:space="preserve"> la procedura speciale a lei riservata.</w:t>
      </w:r>
    </w:p>
    <w:p w14:paraId="7361B3EA" w14:textId="46C082C9" w:rsidR="00884FD4" w:rsidRDefault="00884FD4" w:rsidP="0063305A">
      <w:pPr>
        <w:jc w:val="both"/>
      </w:pPr>
      <w:r>
        <w:t xml:space="preserve">I Comuni, per il recupero dei propri crediti tributari e patrimoniali potranno quindi attivare questa procedura, azionando il pignoramento ex articolo 72 entro un anno dalla notifica dell’atto esecutivo, ovvero dell’avviso di accertamento ex comma 792 Legge 160/2019 oppure dell’Ingiunzione Fiscale ex RD 639/1910 emessa </w:t>
      </w:r>
      <w:r w:rsidR="007258A3">
        <w:t>nel frattempo p</w:t>
      </w:r>
      <w:r>
        <w:t xml:space="preserve">er gli accertamenti </w:t>
      </w:r>
      <w:r w:rsidR="007258A3">
        <w:t>redatti</w:t>
      </w:r>
      <w:r w:rsidR="00FE0CA2">
        <w:t xml:space="preserve"> </w:t>
      </w:r>
      <w:r>
        <w:t xml:space="preserve">ante 2020. Azione che potrà </w:t>
      </w:r>
      <w:r w:rsidR="007258A3">
        <w:t>in ogni caso</w:t>
      </w:r>
      <w:r w:rsidR="00FE0CA2">
        <w:t xml:space="preserve"> </w:t>
      </w:r>
      <w:r>
        <w:t>essere attivata anche successivamente alla scadenza dell’anno, notificando</w:t>
      </w:r>
      <w:r w:rsidR="007258A3">
        <w:t xml:space="preserve"> prima </w:t>
      </w:r>
      <w:r>
        <w:t>al debitore l’Intimazione di pagamento</w:t>
      </w:r>
      <w:r w:rsidR="00FE0CA2">
        <w:t xml:space="preserve">, il provvedimento </w:t>
      </w:r>
      <w:r>
        <w:t>regolat</w:t>
      </w:r>
      <w:r w:rsidR="00FE0CA2">
        <w:t>o</w:t>
      </w:r>
      <w:r>
        <w:t xml:space="preserve"> dall’articolo 50 del DPR 602/73</w:t>
      </w:r>
      <w:r w:rsidR="00FE0CA2">
        <w:t>, che consente agli enti procedenti di rinnovare il precetto e mantenere vivo il diritto a recuperare coattivamente il proprio credito.</w:t>
      </w:r>
    </w:p>
    <w:p w14:paraId="7A070374" w14:textId="334478B7" w:rsidR="00884FD4" w:rsidRDefault="00884FD4" w:rsidP="0063305A">
      <w:pPr>
        <w:jc w:val="both"/>
      </w:pPr>
      <w:r>
        <w:t xml:space="preserve">Dalla ricerca </w:t>
      </w:r>
      <w:r w:rsidR="00FE0CA2">
        <w:t>in Siatel, la</w:t>
      </w:r>
      <w:r>
        <w:t xml:space="preserve"> banca dati dell’Agenzia delle Entrate disponibile agli uffici tributi comunali, sarà possibile rilevare gli estremi delle registrazioni di fitti attivi e pigioni del debitore, acquisendo</w:t>
      </w:r>
      <w:r w:rsidR="00FE0CA2">
        <w:t xml:space="preserve"> tutte</w:t>
      </w:r>
      <w:r>
        <w:t xml:space="preserve"> le informazioni necessarie per notificare al terzo l’ordine di pagamento diretto.</w:t>
      </w:r>
    </w:p>
    <w:p w14:paraId="279EA8DB" w14:textId="76C24ED5" w:rsidR="00884FD4" w:rsidRDefault="00884FD4" w:rsidP="0063305A">
      <w:pPr>
        <w:jc w:val="both"/>
      </w:pPr>
      <w:r>
        <w:t xml:space="preserve">Una soluzione celere e </w:t>
      </w:r>
      <w:r w:rsidR="00DE5058">
        <w:t xml:space="preserve">sicuramente </w:t>
      </w:r>
      <w:r>
        <w:t>alla portata degli uffici procedenti</w:t>
      </w:r>
      <w:r w:rsidR="00DE5058">
        <w:t>,</w:t>
      </w:r>
      <w:r>
        <w:t xml:space="preserve"> che vedranno così la possibilità di recuperare i propri crediti senza dover necessariamente cedere l’iniziativa ad un soggetto esterno come AdER, già molto impegnato a gestire una massa di crediti </w:t>
      </w:r>
      <w:r w:rsidR="00DE5058">
        <w:t>per conto dello</w:t>
      </w:r>
      <w:r>
        <w:t xml:space="preserve"> Stato.</w:t>
      </w:r>
    </w:p>
    <w:p w14:paraId="1138DF1A" w14:textId="0AC89959" w:rsidR="0075252B" w:rsidRPr="00FD3AAE" w:rsidRDefault="0075252B" w:rsidP="0063305A">
      <w:pPr>
        <w:jc w:val="both"/>
      </w:pPr>
      <w:r w:rsidRPr="00FD3AAE">
        <w:t>Si allega uno schema di pignoramento ex articolo 72 DPR 602/73 che</w:t>
      </w:r>
      <w:r w:rsidR="00FD3AAE" w:rsidRPr="00FD3AAE">
        <w:t>,</w:t>
      </w:r>
      <w:r w:rsidRPr="00FD3AAE">
        <w:t xml:space="preserve"> con le dovute personalizzazioni</w:t>
      </w:r>
      <w:r w:rsidR="00FD3AAE" w:rsidRPr="00FD3AAE">
        <w:t>,</w:t>
      </w:r>
      <w:r w:rsidRPr="00FD3AAE">
        <w:t xml:space="preserve"> potrà costituire la base di una attività mirata da parte degli uffici tributi virtuosi che </w:t>
      </w:r>
      <w:r w:rsidR="006E66F0">
        <w:t>vorranno</w:t>
      </w:r>
      <w:r w:rsidRPr="00FD3AAE">
        <w:t xml:space="preserve"> intraprendere la riscossione coattiva in proprio.</w:t>
      </w:r>
    </w:p>
    <w:p w14:paraId="01B62B05" w14:textId="37B418D0" w:rsidR="00FD3AAE" w:rsidRPr="00FD3AAE" w:rsidRDefault="00FD3AAE" w:rsidP="0063305A">
      <w:pPr>
        <w:jc w:val="both"/>
      </w:pPr>
      <w:r w:rsidRPr="00FD3AAE">
        <w:t xml:space="preserve">Il provvedimento contiene </w:t>
      </w:r>
      <w:r w:rsidR="00910E3B">
        <w:t xml:space="preserve">diverse sezioni: </w:t>
      </w:r>
      <w:r w:rsidRPr="00FD3AAE">
        <w:t xml:space="preserve">una prima parte dove si individuano debitore e soggetto </w:t>
      </w:r>
      <w:r w:rsidR="00910E3B">
        <w:t>T</w:t>
      </w:r>
      <w:r w:rsidRPr="00FD3AAE">
        <w:t>erzo</w:t>
      </w:r>
      <w:r>
        <w:t xml:space="preserve">, </w:t>
      </w:r>
      <w:r w:rsidR="00910E3B">
        <w:t xml:space="preserve">una parte dedicata al soggetto/Ente proponente, una serie di premesse nelle quali si rappresentano le motivazioni della procedura richiamando la notifica di atti esecutivi e di eventuali solleciti e intimazioni, una parte </w:t>
      </w:r>
      <w:r w:rsidR="006E66F0">
        <w:t xml:space="preserve">poi </w:t>
      </w:r>
      <w:r w:rsidR="00910E3B">
        <w:t xml:space="preserve">dove si richiama il rapporto tra il debitore e il </w:t>
      </w:r>
      <w:r w:rsidR="006E66F0">
        <w:t>T</w:t>
      </w:r>
      <w:r w:rsidR="00910E3B">
        <w:t xml:space="preserve">erzo, riportando le informazioni dedotte da Siatel circa il contratto d’affitto, una parte dedicata all’ordine al soggetto Terzo di pagare direttamente entro 15 giorni, </w:t>
      </w:r>
      <w:r w:rsidR="006E66F0">
        <w:t>si prosegue con una parte dove si avverte ed intima al Terzo di non disporre delle somme in suo possesso, una sezione poi dedicata alle modalità di opposizione, ai metodi di pagamento e alla eventuale dichiarazione stragiudiziale, nel caso non vi fossero più rapporti tra il debitore e il soggetto Terzo individuato, e infine una parte dedicata all’</w:t>
      </w:r>
      <w:r w:rsidR="006E66F0" w:rsidRPr="00056DFB">
        <w:rPr>
          <w:spacing w:val="-6"/>
        </w:rPr>
        <w:t>attestazione di conformità e conservazione dell'atto</w:t>
      </w:r>
      <w:r w:rsidR="006E66F0">
        <w:rPr>
          <w:spacing w:val="-6"/>
        </w:rPr>
        <w:t xml:space="preserve"> che si concluderà con la firma del Funzionario Responsabile della Riscossione. In allegato un prospetto dei debiti per cui si procede</w:t>
      </w:r>
    </w:p>
    <w:p w14:paraId="5F813AB8" w14:textId="77777777" w:rsidR="00765C5D" w:rsidRDefault="00765C5D" w:rsidP="0063305A">
      <w:pPr>
        <w:jc w:val="both"/>
      </w:pPr>
    </w:p>
    <w:sectPr w:rsidR="00765C5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A72ED"/>
    <w:multiLevelType w:val="hybridMultilevel"/>
    <w:tmpl w:val="A8FC6F5A"/>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03947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61"/>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636"/>
    <w:rsid w:val="00005FF6"/>
    <w:rsid w:val="000422D0"/>
    <w:rsid w:val="00045870"/>
    <w:rsid w:val="000610DE"/>
    <w:rsid w:val="001A3A27"/>
    <w:rsid w:val="001F2B06"/>
    <w:rsid w:val="00247C20"/>
    <w:rsid w:val="00257912"/>
    <w:rsid w:val="002A4C07"/>
    <w:rsid w:val="003C48D8"/>
    <w:rsid w:val="004D25B6"/>
    <w:rsid w:val="004F7616"/>
    <w:rsid w:val="00605217"/>
    <w:rsid w:val="0063305A"/>
    <w:rsid w:val="006471DB"/>
    <w:rsid w:val="006D1636"/>
    <w:rsid w:val="006D2BF2"/>
    <w:rsid w:val="006D416D"/>
    <w:rsid w:val="006E1D0D"/>
    <w:rsid w:val="006E66F0"/>
    <w:rsid w:val="00717AF1"/>
    <w:rsid w:val="007258A3"/>
    <w:rsid w:val="0075252B"/>
    <w:rsid w:val="00765C5D"/>
    <w:rsid w:val="00767A25"/>
    <w:rsid w:val="007A44D0"/>
    <w:rsid w:val="007B2384"/>
    <w:rsid w:val="007F0AC0"/>
    <w:rsid w:val="00884FD4"/>
    <w:rsid w:val="00910E3B"/>
    <w:rsid w:val="009A3137"/>
    <w:rsid w:val="00A248F2"/>
    <w:rsid w:val="00A3729F"/>
    <w:rsid w:val="00A55361"/>
    <w:rsid w:val="00A80CD0"/>
    <w:rsid w:val="00AA18B2"/>
    <w:rsid w:val="00AC50A5"/>
    <w:rsid w:val="00B06E02"/>
    <w:rsid w:val="00B113DE"/>
    <w:rsid w:val="00B73B7D"/>
    <w:rsid w:val="00B74CAE"/>
    <w:rsid w:val="00B75760"/>
    <w:rsid w:val="00BD3482"/>
    <w:rsid w:val="00C00428"/>
    <w:rsid w:val="00C15960"/>
    <w:rsid w:val="00C24241"/>
    <w:rsid w:val="00C35A01"/>
    <w:rsid w:val="00CF42D5"/>
    <w:rsid w:val="00D006C3"/>
    <w:rsid w:val="00DE5058"/>
    <w:rsid w:val="00E00B22"/>
    <w:rsid w:val="00E73F70"/>
    <w:rsid w:val="00E96677"/>
    <w:rsid w:val="00EB0402"/>
    <w:rsid w:val="00F00F4B"/>
    <w:rsid w:val="00F02DAE"/>
    <w:rsid w:val="00F146DC"/>
    <w:rsid w:val="00F52DF4"/>
    <w:rsid w:val="00F66BC7"/>
    <w:rsid w:val="00FD3AAE"/>
    <w:rsid w:val="00FE0CA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3F79"/>
  <w15:chartTrackingRefBased/>
  <w15:docId w15:val="{1517C39C-7689-4B75-984F-AD60EF829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1A3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103055">
      <w:bodyDiv w:val="1"/>
      <w:marLeft w:val="0"/>
      <w:marRight w:val="0"/>
      <w:marTop w:val="0"/>
      <w:marBottom w:val="0"/>
      <w:divBdr>
        <w:top w:val="none" w:sz="0" w:space="0" w:color="auto"/>
        <w:left w:val="none" w:sz="0" w:space="0" w:color="auto"/>
        <w:bottom w:val="none" w:sz="0" w:space="0" w:color="auto"/>
        <w:right w:val="none" w:sz="0" w:space="0" w:color="auto"/>
      </w:divBdr>
    </w:div>
    <w:div w:id="986974119">
      <w:bodyDiv w:val="1"/>
      <w:marLeft w:val="0"/>
      <w:marRight w:val="0"/>
      <w:marTop w:val="0"/>
      <w:marBottom w:val="0"/>
      <w:divBdr>
        <w:top w:val="none" w:sz="0" w:space="0" w:color="auto"/>
        <w:left w:val="none" w:sz="0" w:space="0" w:color="auto"/>
        <w:bottom w:val="none" w:sz="0" w:space="0" w:color="auto"/>
        <w:right w:val="none" w:sz="0" w:space="0" w:color="auto"/>
      </w:divBdr>
    </w:div>
    <w:div w:id="1046493161">
      <w:bodyDiv w:val="1"/>
      <w:marLeft w:val="0"/>
      <w:marRight w:val="0"/>
      <w:marTop w:val="0"/>
      <w:marBottom w:val="0"/>
      <w:divBdr>
        <w:top w:val="none" w:sz="0" w:space="0" w:color="auto"/>
        <w:left w:val="none" w:sz="0" w:space="0" w:color="auto"/>
        <w:bottom w:val="none" w:sz="0" w:space="0" w:color="auto"/>
        <w:right w:val="none" w:sz="0" w:space="0" w:color="auto"/>
      </w:divBdr>
    </w:div>
    <w:div w:id="2060518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683</TotalTime>
  <Pages>2</Pages>
  <Words>1147</Words>
  <Characters>6542</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35</cp:revision>
  <dcterms:created xsi:type="dcterms:W3CDTF">2022-10-23T13:50:00Z</dcterms:created>
  <dcterms:modified xsi:type="dcterms:W3CDTF">2022-12-11T17:51:00Z</dcterms:modified>
</cp:coreProperties>
</file>