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3812B17" w14:textId="55DCF899" w:rsidR="003C52E5" w:rsidRDefault="003C52E5" w:rsidP="003C52E5">
      <w:pPr>
        <w:rPr>
          <w:b/>
          <w:bCs/>
        </w:rPr>
      </w:pPr>
      <w:r>
        <w:rPr>
          <w:b/>
          <w:bCs/>
        </w:rPr>
        <w:t xml:space="preserve">Titolo: LE </w:t>
      </w:r>
      <w:r w:rsidRPr="004A753D">
        <w:rPr>
          <w:b/>
          <w:bCs/>
        </w:rPr>
        <w:t xml:space="preserve">MODIFICHE </w:t>
      </w:r>
      <w:r>
        <w:rPr>
          <w:b/>
          <w:bCs/>
        </w:rPr>
        <w:t>PROPOSTE</w:t>
      </w:r>
      <w:r w:rsidRPr="004A753D">
        <w:rPr>
          <w:b/>
          <w:bCs/>
        </w:rPr>
        <w:t xml:space="preserve"> ALLA DISCIPLINA CUP</w:t>
      </w:r>
      <w:r>
        <w:rPr>
          <w:b/>
          <w:bCs/>
        </w:rPr>
        <w:t xml:space="preserve"> </w:t>
      </w:r>
      <w:r w:rsidR="00BA48B6">
        <w:rPr>
          <w:b/>
          <w:bCs/>
        </w:rPr>
        <w:t xml:space="preserve">CONTENUTE </w:t>
      </w:r>
      <w:r>
        <w:rPr>
          <w:b/>
          <w:bCs/>
        </w:rPr>
        <w:t xml:space="preserve">NELLA </w:t>
      </w:r>
      <w:r w:rsidRPr="004A753D">
        <w:rPr>
          <w:b/>
          <w:bCs/>
        </w:rPr>
        <w:t xml:space="preserve">BOZZA DI DECRETO </w:t>
      </w:r>
      <w:r>
        <w:rPr>
          <w:b/>
          <w:bCs/>
        </w:rPr>
        <w:t>DELEGA FISCALE</w:t>
      </w:r>
    </w:p>
    <w:p w14:paraId="5CA19F61" w14:textId="5C80F286" w:rsidR="00BA48B6" w:rsidRDefault="00BA48B6" w:rsidP="003C52E5">
      <w:pPr>
        <w:rPr>
          <w:b/>
          <w:bCs/>
        </w:rPr>
      </w:pPr>
      <w:r>
        <w:rPr>
          <w:b/>
          <w:bCs/>
        </w:rPr>
        <w:t>Di Alessandro Merciari</w:t>
      </w:r>
    </w:p>
    <w:p w14:paraId="6BD879B2" w14:textId="79A1A82A" w:rsidR="003C52E5" w:rsidRDefault="003C52E5" w:rsidP="003E2635">
      <w:r>
        <w:t xml:space="preserve">Nella bozza di decreto </w:t>
      </w:r>
      <w:r w:rsidRPr="00C3345A">
        <w:t>legislativo di attuazione della delega</w:t>
      </w:r>
      <w:r>
        <w:t xml:space="preserve"> </w:t>
      </w:r>
      <w:proofErr w:type="spellStart"/>
      <w:r w:rsidR="003E2635">
        <w:t>Delega</w:t>
      </w:r>
      <w:proofErr w:type="spellEnd"/>
      <w:r w:rsidR="003E2635">
        <w:t xml:space="preserve"> al Governo</w:t>
      </w:r>
      <w:r w:rsidR="003E2635">
        <w:t xml:space="preserve"> </w:t>
      </w:r>
      <w:r w:rsidR="003E2635">
        <w:t>per la riforma fiscale,</w:t>
      </w:r>
      <w:r w:rsidR="003E2635">
        <w:t xml:space="preserve"> </w:t>
      </w:r>
      <w:r>
        <w:t xml:space="preserve">troviamo un articolo dedicato alle modifiche della disciplina del </w:t>
      </w:r>
      <w:r w:rsidR="006B7795">
        <w:t>C</w:t>
      </w:r>
      <w:r>
        <w:t xml:space="preserve">anone </w:t>
      </w:r>
      <w:r w:rsidR="006B7795">
        <w:t>patrimoniale di concessione, autorizzazione</w:t>
      </w:r>
      <w:r w:rsidR="006B7795">
        <w:t xml:space="preserve"> </w:t>
      </w:r>
      <w:r w:rsidR="006B7795">
        <w:t>o esposizione pubblicitaria</w:t>
      </w:r>
      <w:r w:rsidR="006B7795">
        <w:t xml:space="preserve">, oggi </w:t>
      </w:r>
      <w:r>
        <w:t xml:space="preserve">conosciuto </w:t>
      </w:r>
      <w:r w:rsidR="006B7795">
        <w:t xml:space="preserve">con l’acronimo </w:t>
      </w:r>
      <w:r>
        <w:t>CUP.</w:t>
      </w:r>
    </w:p>
    <w:p w14:paraId="24EF6271" w14:textId="49BD56E8" w:rsidR="003C52E5" w:rsidRDefault="003C52E5" w:rsidP="003C52E5">
      <w:pPr>
        <w:jc w:val="both"/>
      </w:pPr>
      <w:r>
        <w:t xml:space="preserve">Nella bozza di decreto troviamo alcune modifiche importanti, forse non le più attese, che </w:t>
      </w:r>
      <w:r w:rsidR="006B7795">
        <w:t xml:space="preserve">proviamo </w:t>
      </w:r>
      <w:r>
        <w:t xml:space="preserve"> ad analizzare singolarmente</w:t>
      </w:r>
      <w:r w:rsidR="006B7795">
        <w:t xml:space="preserve"> in questo approfondimento</w:t>
      </w:r>
      <w:r>
        <w:t>.</w:t>
      </w:r>
    </w:p>
    <w:p w14:paraId="0EA04F7D" w14:textId="67A5B3E7" w:rsidR="003C52E5" w:rsidRPr="006B7795" w:rsidRDefault="006B7795" w:rsidP="003C52E5">
      <w:pPr>
        <w:jc w:val="both"/>
        <w:rPr>
          <w:b/>
          <w:bCs/>
        </w:rPr>
      </w:pPr>
      <w:r w:rsidRPr="006B7795">
        <w:rPr>
          <w:b/>
          <w:bCs/>
        </w:rPr>
        <w:t>A</w:t>
      </w:r>
      <w:r w:rsidR="003C52E5" w:rsidRPr="006B7795">
        <w:rPr>
          <w:b/>
          <w:bCs/>
        </w:rPr>
        <w:t xml:space="preserve">rticolo 26 </w:t>
      </w:r>
      <w:r w:rsidRPr="006B7795">
        <w:rPr>
          <w:b/>
          <w:bCs/>
        </w:rPr>
        <w:t>comma 1 lettera A</w:t>
      </w:r>
      <w:r w:rsidRPr="006B7795">
        <w:rPr>
          <w:b/>
          <w:bCs/>
        </w:rPr>
        <w:t>: la modifica del comma 817</w:t>
      </w:r>
    </w:p>
    <w:p w14:paraId="371617FF" w14:textId="77777777" w:rsidR="003C52E5" w:rsidRDefault="003C52E5" w:rsidP="003C52E5">
      <w:pPr>
        <w:jc w:val="both"/>
        <w:rPr>
          <w:i/>
          <w:iCs/>
        </w:rPr>
      </w:pPr>
      <w:r>
        <w:t>Nel testo si legge: “</w:t>
      </w:r>
      <w:r w:rsidRPr="004C35CE">
        <w:rPr>
          <w:i/>
          <w:iCs/>
        </w:rPr>
        <w:t>a) al comma 817, è aggiunto in fine il seguente periodo:</w:t>
      </w:r>
      <w:r>
        <w:t xml:space="preserve"> “</w:t>
      </w:r>
      <w:r w:rsidRPr="004A753D">
        <w:rPr>
          <w:i/>
          <w:iCs/>
        </w:rPr>
        <w:t xml:space="preserve">Gli enti determinano le tariffe con criteri di ragionevolezza e gradualità tenendo conto della popolazione residente, della rilevanza dei flussi turistici presenti nel comune e delle caratteristiche urbanistiche delle diverse zone del territorio comunale, nonché della </w:t>
      </w:r>
      <w:proofErr w:type="spellStart"/>
      <w:r w:rsidRPr="004A753D">
        <w:rPr>
          <w:i/>
          <w:iCs/>
        </w:rPr>
        <w:t>ritraibilità</w:t>
      </w:r>
      <w:proofErr w:type="spellEnd"/>
      <w:r w:rsidRPr="004A753D">
        <w:rPr>
          <w:i/>
          <w:iCs/>
        </w:rPr>
        <w:t xml:space="preserve"> economica e dell'impatto ambientale delle occupazioni e delle esposizioni pubblicitarie oggetto del prelievo.”</w:t>
      </w:r>
    </w:p>
    <w:p w14:paraId="65A36435" w14:textId="49B6E8FF" w:rsidR="003C52E5" w:rsidRDefault="003C52E5" w:rsidP="003C52E5">
      <w:pPr>
        <w:jc w:val="both"/>
      </w:pPr>
      <w:r>
        <w:t xml:space="preserve">Una modifica che chiaramente vuole richiamare il ruolo degli enti locali in materia di proprie entrate. Un ruolo di autonomia e potestà regolamentare e tariffaria, condizionato al rispetto dei principi generali sempre validi in materia fiscale e alle giuste motivazioni che devono sempre accompagnare delle manovre tariffarie. L’esperienza di questi primi anni ce lo insegna. Molte sentenze di Tribunali Amministrativi Regionali hanno evidenziato, nel bene o nel male, il comportamento di Pubbliche Amministrazioni, che hanno fatto valere la possibilità data di </w:t>
      </w:r>
      <w:r w:rsidR="006B7795">
        <w:t>variare il</w:t>
      </w:r>
      <w:r w:rsidRPr="00063280">
        <w:t xml:space="preserve"> gettito </w:t>
      </w:r>
      <w:r>
        <w:t xml:space="preserve">atteso </w:t>
      </w:r>
      <w:r w:rsidRPr="00063280">
        <w:t xml:space="preserve">attraverso la modifica delle </w:t>
      </w:r>
      <w:r>
        <w:t xml:space="preserve">proprie </w:t>
      </w:r>
      <w:r w:rsidRPr="00063280">
        <w:t>tariffe</w:t>
      </w:r>
      <w:r>
        <w:t>.</w:t>
      </w:r>
    </w:p>
    <w:p w14:paraId="48482589" w14:textId="77777777" w:rsidR="003C52E5" w:rsidRDefault="003C52E5" w:rsidP="003C52E5">
      <w:pPr>
        <w:jc w:val="both"/>
      </w:pPr>
      <w:r>
        <w:t>Il comma 817 è quello con il quale il legislatore ha voluto legare la nuova entrata ai precedenti prelievi. Un vincolo imposto agli enti locali nell’andare a istituire e disciplinare la propria entrata in continuità con il passato. Un monito a non stravolgere gli impianti tariffari e i gettiti attesi dalle entrate sostituite.</w:t>
      </w:r>
    </w:p>
    <w:p w14:paraId="0BF94151" w14:textId="77777777" w:rsidR="003C52E5" w:rsidRDefault="003C52E5" w:rsidP="003C52E5">
      <w:pPr>
        <w:jc w:val="both"/>
      </w:pPr>
      <w:r>
        <w:t xml:space="preserve">In relazione a questo comma possiamo oggi concentrare l’attenzione sulla disposizione finale, ovvero sulla possibilità riconosciuta agli enti di variare il gettito attraverso la modifica delle tariffe. Perché la modifica proposta va proprio a completare il significato di quanto voluto dal Legislatore. </w:t>
      </w:r>
    </w:p>
    <w:p w14:paraId="744B8881" w14:textId="290D1C85" w:rsidR="003C52E5" w:rsidRDefault="003C52E5" w:rsidP="003C52E5">
      <w:pPr>
        <w:jc w:val="both"/>
      </w:pPr>
      <w:r>
        <w:t>Oggettivamente fino ad oggi, sul significato e sulla portata della frase “…</w:t>
      </w:r>
      <w:r>
        <w:rPr>
          <w:i/>
        </w:rPr>
        <w:t xml:space="preserve">fatta salva, in ogni caso, la possibilità di variare il gettito attraverso la modifica delle </w:t>
      </w:r>
      <w:r w:rsidR="006B7795">
        <w:rPr>
          <w:i/>
        </w:rPr>
        <w:t>tariffe”</w:t>
      </w:r>
      <w:r w:rsidR="006B7795">
        <w:t xml:space="preserve"> si</w:t>
      </w:r>
      <w:r>
        <w:t xml:space="preserve"> è letto di tutto. Recentemente il TAR Lombardia ha richiamato questa disposizione per legittimare l’operato dei comuni che hanno variato le tariffe base disposte dal Legislatore per consentire l’obiettivo dell’invarianza di gettito prevista nella prima parte del comma. </w:t>
      </w:r>
    </w:p>
    <w:p w14:paraId="4BA0D840" w14:textId="77777777" w:rsidR="003C52E5" w:rsidRDefault="003C52E5" w:rsidP="003C52E5">
      <w:pPr>
        <w:jc w:val="both"/>
      </w:pPr>
      <w:r>
        <w:t>L'obiettivo dichiarato del Legislatore era quello di riunificare le entrate senza stravolgerle, lasciando comunque quell'autonomia agli enti territoriali nel regolarla in base alle proprie caratteristiche e alla propria storia. Obiettivo che sembra trovare conferma nella modifica proposta.</w:t>
      </w:r>
    </w:p>
    <w:p w14:paraId="7494FEBE" w14:textId="77A64872" w:rsidR="003C52E5" w:rsidRPr="006B7795" w:rsidRDefault="003C52E5" w:rsidP="003C52E5">
      <w:pPr>
        <w:jc w:val="both"/>
      </w:pPr>
      <w:r w:rsidRPr="006B7795">
        <w:t>In questa direzione erano già andati i Giudici del TAR Lombardia. Nelle sentenze 1848 e 1850 pubblicate il 07/07/2023, si attribu</w:t>
      </w:r>
      <w:r w:rsidR="006B7795" w:rsidRPr="006B7795">
        <w:t>iva</w:t>
      </w:r>
      <w:r w:rsidRPr="006B7795">
        <w:t xml:space="preserve"> all</w:t>
      </w:r>
      <w:r w:rsidR="006B7795" w:rsidRPr="006B7795">
        <w:t xml:space="preserve">e </w:t>
      </w:r>
      <w:r w:rsidRPr="006B7795">
        <w:t>Amministrazion</w:t>
      </w:r>
      <w:r w:rsidR="006B7795" w:rsidRPr="006B7795">
        <w:t>i</w:t>
      </w:r>
      <w:r w:rsidRPr="006B7795">
        <w:t xml:space="preserve"> local</w:t>
      </w:r>
      <w:r w:rsidR="006B7795" w:rsidRPr="006B7795">
        <w:t>i il</w:t>
      </w:r>
      <w:r w:rsidRPr="006B7795">
        <w:t xml:space="preserve"> potere discrezionale di modulare il canone in funzione delle specificità della singola realtà territoriale, in applicazione del principio di autonomia finanziaria di entrata di cui all'art. 119 Cost.</w:t>
      </w:r>
      <w:r w:rsidR="006B7795">
        <w:t xml:space="preserve"> concetto già evidenziato dal </w:t>
      </w:r>
      <w:r w:rsidRPr="006B7795">
        <w:t xml:space="preserve">TAR Lazio, </w:t>
      </w:r>
      <w:r w:rsidR="006B7795">
        <w:t xml:space="preserve">con la sentenza </w:t>
      </w:r>
      <w:r w:rsidRPr="006B7795">
        <w:t>n. 3855</w:t>
      </w:r>
      <w:r w:rsidR="006B7795">
        <w:t>/2022.</w:t>
      </w:r>
    </w:p>
    <w:p w14:paraId="5E4E2B85" w14:textId="77777777" w:rsidR="003C52E5" w:rsidRDefault="003C52E5" w:rsidP="003C52E5">
      <w:pPr>
        <w:jc w:val="both"/>
      </w:pPr>
      <w:r>
        <w:t xml:space="preserve">La modifica proposta nella lettera A del comma 1 della bozza di decreto, sembra andare in questa direzione, riconoscendo l’autonomia degli enti locali in materia di proprie entrate, vincolandoli a valutazioni oggettive e sottoponendoli al rispetto dei principi generali </w:t>
      </w:r>
      <w:r w:rsidRPr="006C0C6E">
        <w:t xml:space="preserve">di ragionevolezza e gradualità </w:t>
      </w:r>
      <w:r>
        <w:t xml:space="preserve">validi in materia fiscale. </w:t>
      </w:r>
    </w:p>
    <w:p w14:paraId="77E86701" w14:textId="51B154FA" w:rsidR="003C52E5" w:rsidRDefault="003C52E5" w:rsidP="003C52E5">
      <w:pPr>
        <w:jc w:val="both"/>
      </w:pPr>
      <w:r>
        <w:t xml:space="preserve">Con questa lettura, non si può non tornare su una recentissima sentenza del TAR Campania. Sotto la lente d’ingrandimento dei giudici in quel caso finì una deliberazione </w:t>
      </w:r>
      <w:r w:rsidR="006B7795">
        <w:t>di un</w:t>
      </w:r>
      <w:r>
        <w:t xml:space="preserve"> Comune </w:t>
      </w:r>
      <w:r w:rsidR="006B7795">
        <w:t xml:space="preserve">turistico </w:t>
      </w:r>
      <w:r>
        <w:t xml:space="preserve">con la quale si dava </w:t>
      </w:r>
      <w:r>
        <w:lastRenderedPageBreak/>
        <w:t xml:space="preserve">forma e sostanza alla zonizzazione del territorio, adottando una zona centralissima definita “zona zero” caratterizzata da valori di locazione degli immobili commerciali superiore al doppio rispetto al resto del territorio. La scelta della Amministrazione comunale è stata proprio quella di operare una nuova e più razionale proporzione tra il valore degli immobili ad uso commerciale presenti nelle varie zone del territorio comunale, e la relativa tariffa per l’occupazione del suolo pubblico. </w:t>
      </w:r>
    </w:p>
    <w:p w14:paraId="29C47B77" w14:textId="77777777" w:rsidR="003C52E5" w:rsidRDefault="003C52E5" w:rsidP="003C52E5">
      <w:pPr>
        <w:jc w:val="both"/>
      </w:pPr>
      <w:r>
        <w:t>Esattamente il principio che si vorrebbe introdurre con la modifica del comma 817.</w:t>
      </w:r>
    </w:p>
    <w:p w14:paraId="224C4470" w14:textId="4157C219" w:rsidR="00C4033B" w:rsidRDefault="00C4033B" w:rsidP="00C4033B">
      <w:pPr>
        <w:jc w:val="both"/>
        <w:rPr>
          <w:b/>
          <w:bCs/>
        </w:rPr>
      </w:pPr>
      <w:r w:rsidRPr="006B7795">
        <w:rPr>
          <w:b/>
          <w:bCs/>
        </w:rPr>
        <w:t xml:space="preserve">Articolo 26 comma 1 lettera </w:t>
      </w:r>
      <w:r>
        <w:rPr>
          <w:b/>
          <w:bCs/>
        </w:rPr>
        <w:t>B</w:t>
      </w:r>
      <w:r w:rsidRPr="006B7795">
        <w:rPr>
          <w:b/>
          <w:bCs/>
        </w:rPr>
        <w:t>: la modifica del comma 81</w:t>
      </w:r>
      <w:r>
        <w:rPr>
          <w:b/>
          <w:bCs/>
        </w:rPr>
        <w:t>9</w:t>
      </w:r>
    </w:p>
    <w:p w14:paraId="212D7C92" w14:textId="77777777" w:rsidR="00653D96" w:rsidRDefault="00653D96" w:rsidP="00653D96">
      <w:pPr>
        <w:jc w:val="both"/>
        <w:rPr>
          <w:i/>
          <w:iCs/>
        </w:rPr>
      </w:pPr>
      <w:r>
        <w:t>Nel testo proposto per la modifica della disciplina si legge: “</w:t>
      </w:r>
      <w:r w:rsidRPr="0013116B">
        <w:rPr>
          <w:i/>
          <w:iCs/>
        </w:rPr>
        <w:t>al comma 819:</w:t>
      </w:r>
      <w:r>
        <w:rPr>
          <w:i/>
          <w:iCs/>
        </w:rPr>
        <w:t xml:space="preserve"> </w:t>
      </w:r>
      <w:r w:rsidRPr="0013116B">
        <w:rPr>
          <w:i/>
          <w:iCs/>
        </w:rPr>
        <w:t>1) alla lettera a), dopo le parole “suolo pubblico” sono aggiunte le seguenti: “con</w:t>
      </w:r>
      <w:r>
        <w:rPr>
          <w:i/>
          <w:iCs/>
        </w:rPr>
        <w:t xml:space="preserve"> </w:t>
      </w:r>
      <w:r w:rsidRPr="0013116B">
        <w:rPr>
          <w:i/>
          <w:iCs/>
        </w:rPr>
        <w:t>esclusione dei balconi, verande, bow-windows e simili manufatti di carattere</w:t>
      </w:r>
      <w:r>
        <w:rPr>
          <w:i/>
          <w:iCs/>
        </w:rPr>
        <w:t xml:space="preserve"> </w:t>
      </w:r>
      <w:r w:rsidRPr="0013116B">
        <w:rPr>
          <w:i/>
          <w:iCs/>
        </w:rPr>
        <w:t>stabile; l’occupazione, anche abusiva, di aree di proprietà privata sulle quali</w:t>
      </w:r>
      <w:r>
        <w:rPr>
          <w:i/>
          <w:iCs/>
        </w:rPr>
        <w:t xml:space="preserve"> </w:t>
      </w:r>
      <w:r w:rsidRPr="0013116B">
        <w:rPr>
          <w:i/>
          <w:iCs/>
        </w:rPr>
        <w:t>risulta regolarmente costituita, nei modi e nei termini di legge, la servitù di</w:t>
      </w:r>
      <w:r>
        <w:rPr>
          <w:i/>
          <w:iCs/>
        </w:rPr>
        <w:t xml:space="preserve"> </w:t>
      </w:r>
      <w:r w:rsidRPr="0013116B">
        <w:rPr>
          <w:i/>
          <w:iCs/>
        </w:rPr>
        <w:t>pubblico passaggio”;</w:t>
      </w:r>
      <w:r>
        <w:rPr>
          <w:i/>
          <w:iCs/>
        </w:rPr>
        <w:t xml:space="preserve"> </w:t>
      </w:r>
      <w:r w:rsidRPr="0013116B">
        <w:rPr>
          <w:i/>
          <w:iCs/>
        </w:rPr>
        <w:t>2) alla lettera b) in fine è aggiunto il seguente periodo: “Ai fini dell’applicazione</w:t>
      </w:r>
      <w:r>
        <w:rPr>
          <w:i/>
          <w:iCs/>
        </w:rPr>
        <w:t xml:space="preserve"> </w:t>
      </w:r>
      <w:r w:rsidRPr="0013116B">
        <w:rPr>
          <w:i/>
          <w:iCs/>
        </w:rPr>
        <w:t>del canone si considerano rilevanti i messaggi diffusi allo scopo di promuovere</w:t>
      </w:r>
      <w:r>
        <w:rPr>
          <w:i/>
          <w:iCs/>
        </w:rPr>
        <w:t xml:space="preserve"> </w:t>
      </w:r>
      <w:r w:rsidRPr="0013116B">
        <w:rPr>
          <w:i/>
          <w:iCs/>
        </w:rPr>
        <w:t>la domanda di beni o servizi, ovvero finalizzati a migliorare l’immagine del</w:t>
      </w:r>
      <w:r>
        <w:rPr>
          <w:i/>
          <w:iCs/>
        </w:rPr>
        <w:t xml:space="preserve"> </w:t>
      </w:r>
      <w:r w:rsidRPr="0013116B">
        <w:rPr>
          <w:i/>
          <w:iCs/>
        </w:rPr>
        <w:t>soggetto pubblicizzato”</w:t>
      </w:r>
      <w:r>
        <w:rPr>
          <w:i/>
          <w:iCs/>
        </w:rPr>
        <w:t>.</w:t>
      </w:r>
    </w:p>
    <w:p w14:paraId="71A4068F" w14:textId="7F5F919E" w:rsidR="00653D96" w:rsidRDefault="00453C6A" w:rsidP="00653D96">
      <w:pPr>
        <w:jc w:val="both"/>
      </w:pPr>
      <w:r>
        <w:t>M</w:t>
      </w:r>
      <w:r w:rsidR="00653D96">
        <w:t xml:space="preserve">odifiche che verrebbero apportate ad uno dei commi più importanti della disciplina, ovvero il comma 819 dedicato all’individuazione del presupposto applicativo della nuova entrata patrimoniale, che ironia della sorte viene chiamata Canone Unico, ma che in realtà si tratta di due entrate distinte, forzatamente ricondotto sotto lo stesso nome. </w:t>
      </w:r>
    </w:p>
    <w:p w14:paraId="3C9C92F0" w14:textId="77777777" w:rsidR="00653D96" w:rsidRDefault="00653D96" w:rsidP="00653D96">
      <w:pPr>
        <w:jc w:val="both"/>
      </w:pPr>
      <w:r>
        <w:t>Fu forte la volontà politica di creare un’unica entrata, tuttavia non fu possibile tecnicamente definire un univoco presupposto, così che il Legislatore optò per shiftare il comma in due lettere, A e B, rispettivamente per definire il presupposto legato alle occupazioni di suolo pubblico e quello legato alle diffusioni pubblicitarie.</w:t>
      </w:r>
    </w:p>
    <w:p w14:paraId="51B5376C" w14:textId="77777777" w:rsidR="00653D96" w:rsidRDefault="00653D96" w:rsidP="00653D96">
      <w:pPr>
        <w:jc w:val="both"/>
      </w:pPr>
      <w:r>
        <w:t>Una modifica che chiaramente vuole integrare i requisiti di Legge per individuare il presupposto applicativo del CUP. Una necessità che deriva dalla lacuna della originaria versione che doveva necessariamente trovare correzione e completamento con le singole discipline regolamentari dei diversi enti locali interessati in qualità di soggetti attivi dell’entrata.</w:t>
      </w:r>
    </w:p>
    <w:p w14:paraId="301C0127" w14:textId="77777777" w:rsidR="00653D96" w:rsidRDefault="00653D96" w:rsidP="00653D96">
      <w:pPr>
        <w:jc w:val="both"/>
      </w:pPr>
      <w:r>
        <w:t>In un contesto di oltre 8.000 enti, con discipline regolamentari diverse, sarebbe stato auspicabile avere, fin dalla sua introduzione, una norma sovraordinata in grado di dare regole certe e omogenee su tutto il territorio nazionale. Difficile infatti ipotizzare di avere diverse linee applicative fin dalla definizione del presupposto applicativo, in contesti territoriali diversi. Ecco quindi che questa proposta di modifica trova assolutamente una sua motivazione e ragion d’essere.</w:t>
      </w:r>
    </w:p>
    <w:p w14:paraId="7833BB8A" w14:textId="63D69F2F" w:rsidR="00653D96" w:rsidRDefault="00653D96" w:rsidP="00653D96">
      <w:pPr>
        <w:jc w:val="both"/>
      </w:pPr>
      <w:r>
        <w:t xml:space="preserve">Per quanto riguarda la lettera A, la proposta di aggiungere le parole </w:t>
      </w:r>
      <w:r w:rsidRPr="0013116B">
        <w:rPr>
          <w:i/>
          <w:iCs/>
        </w:rPr>
        <w:t>“con</w:t>
      </w:r>
      <w:r>
        <w:rPr>
          <w:i/>
          <w:iCs/>
        </w:rPr>
        <w:t xml:space="preserve"> </w:t>
      </w:r>
      <w:r w:rsidRPr="0013116B">
        <w:rPr>
          <w:i/>
          <w:iCs/>
        </w:rPr>
        <w:t>esclusione dei balconi, verande, bow-windows e simili manufatti di carattere</w:t>
      </w:r>
      <w:r>
        <w:rPr>
          <w:i/>
          <w:iCs/>
        </w:rPr>
        <w:t xml:space="preserve"> </w:t>
      </w:r>
      <w:r w:rsidRPr="0013116B">
        <w:rPr>
          <w:i/>
          <w:iCs/>
        </w:rPr>
        <w:t>stabile</w:t>
      </w:r>
      <w:r>
        <w:rPr>
          <w:i/>
          <w:iCs/>
        </w:rPr>
        <w:t xml:space="preserve">” </w:t>
      </w:r>
      <w:r>
        <w:rPr>
          <w:i/>
          <w:iCs/>
        </w:rPr>
        <w:t xml:space="preserve">appare </w:t>
      </w:r>
      <w:r>
        <w:t>un’iniziativa</w:t>
      </w:r>
      <w:r>
        <w:t xml:space="preserve"> certamente utile, che chiarisce un concetto di esclusione che già apparteneva ai precedenti prelievi e che in verità non aveva generato molti dubbi applicativi agli uffici chiamati a gestire la banca dati delle occupazioni soggette al pagamento del canone. Manufatti che non erano censiti con i precedenti prelievi e che quasi sempre sono continuati a rimanere ai margini di questa entrata.</w:t>
      </w:r>
    </w:p>
    <w:p w14:paraId="73AE8B6D" w14:textId="77777777" w:rsidR="00653D96" w:rsidRDefault="00653D96" w:rsidP="00653D96">
      <w:pPr>
        <w:jc w:val="both"/>
        <w:rPr>
          <w:i/>
          <w:iCs/>
        </w:rPr>
      </w:pPr>
      <w:r>
        <w:t>Di maggior impatto e sicuramente più utile alla causa degli enti locali, l’aggiunta della frase: “</w:t>
      </w:r>
      <w:r w:rsidRPr="0013116B">
        <w:rPr>
          <w:i/>
          <w:iCs/>
        </w:rPr>
        <w:t>l’occupazione, anche abusiva, di aree di proprietà privata sulle quali</w:t>
      </w:r>
      <w:r>
        <w:rPr>
          <w:i/>
          <w:iCs/>
        </w:rPr>
        <w:t xml:space="preserve"> </w:t>
      </w:r>
      <w:r w:rsidRPr="0013116B">
        <w:rPr>
          <w:i/>
          <w:iCs/>
        </w:rPr>
        <w:t>risulta regolarmente costituita, nei modi e nei termini di legge, la servitù di</w:t>
      </w:r>
      <w:r>
        <w:rPr>
          <w:i/>
          <w:iCs/>
        </w:rPr>
        <w:t xml:space="preserve"> </w:t>
      </w:r>
      <w:r w:rsidRPr="0013116B">
        <w:rPr>
          <w:i/>
          <w:iCs/>
        </w:rPr>
        <w:t>pubblico passaggio”</w:t>
      </w:r>
      <w:r>
        <w:rPr>
          <w:i/>
          <w:iCs/>
        </w:rPr>
        <w:t>.</w:t>
      </w:r>
    </w:p>
    <w:p w14:paraId="0A27BCD4" w14:textId="77777777" w:rsidR="00653D96" w:rsidRDefault="00653D96" w:rsidP="00653D96">
      <w:pPr>
        <w:spacing w:before="240" w:after="240"/>
        <w:jc w:val="both"/>
      </w:pPr>
      <w:r w:rsidRPr="00C4143F">
        <w:t>Nella versione originaria della norma</w:t>
      </w:r>
      <w:r>
        <w:t xml:space="preserve"> il Legislatore aveva infatti sorvolato sulle occupazioni realizzate su tratti di strada privata, generando dubbi sulla corretta interpretazione. Tuttavia, sarebbe dovuto essere evidente fin dall’introduzione del CUP come l’area privata soggetta ad uso pubblico dovesse subire una naturale </w:t>
      </w:r>
      <w:r>
        <w:lastRenderedPageBreak/>
        <w:t>attrazione nell'ambito applicativo, dovendo seguire il regime già previsto per le aree demaniali e per quelle appartenenti al patrimonio indisponibile degli enti locali.</w:t>
      </w:r>
    </w:p>
    <w:p w14:paraId="3183B79B" w14:textId="77777777" w:rsidR="00653D96" w:rsidRDefault="00653D96" w:rsidP="00653D96">
      <w:pPr>
        <w:spacing w:before="240" w:after="240"/>
        <w:jc w:val="both"/>
      </w:pPr>
      <w:r>
        <w:t>La circostanza che il Legislatore non le avesse formalmente richiamate nella versione originale del comma 819 della Legge 160/2019 dedicato al presupposto, non doveva quindi essere letta come una scelta di esclusione dall'ambito applicativo, ma anzi deve essere valutata come una definitiva e pacifica inclusione.</w:t>
      </w:r>
    </w:p>
    <w:p w14:paraId="2B7D0FE1" w14:textId="77777777" w:rsidR="00653D96" w:rsidRDefault="00653D96" w:rsidP="00653D96">
      <w:pPr>
        <w:spacing w:before="240" w:after="240"/>
        <w:jc w:val="both"/>
      </w:pPr>
      <w:r>
        <w:t>Seguendo una analisi giuridica possiamo collocare le servitù pubbliche nell'alveo della disciplina dei beni demaniali. È l'articolo 825 del Codice Civile che, in modo inequivocabile, stabilisce che le aree private gravate da servitù sono soggette al regime del demanio pubblico tutte le volte che i diritti stessi sono costituiti per il conseguimento di fini di pubblico interesse corrispondenti a quelli a cui servono i beni medesimi.</w:t>
      </w:r>
    </w:p>
    <w:p w14:paraId="77D6F883" w14:textId="77777777" w:rsidR="00653D96" w:rsidRDefault="00653D96" w:rsidP="00653D96">
      <w:pPr>
        <w:spacing w:before="240" w:after="240"/>
        <w:jc w:val="both"/>
      </w:pPr>
      <w:r>
        <w:t>Come dire, tutte le volte che le cosiddette servitù di uso pubblico, vengono in essere a vantaggio di una collettività indeterminata di persone, debbono sottostare al regime autoritativo previsto per le aree demaniali. La servitù di pubblico passaggio è a tutti gli effetti il diritto reale di godimento spettante alla collettività di transitare liberamente sul bene del privato.</w:t>
      </w:r>
    </w:p>
    <w:p w14:paraId="202BD0C2" w14:textId="77777777" w:rsidR="00653D96" w:rsidRDefault="00653D96" w:rsidP="00653D96">
      <w:pPr>
        <w:spacing w:before="240" w:after="240"/>
        <w:jc w:val="both"/>
      </w:pPr>
      <w:r>
        <w:t>Ben venga quindi questa modifica del comma 819 lettera A, purché sia da considerare come norma interpretativa senza lasciare alcun dubbio su come comportarsi per le tre annualità di gestione già trascorse con il testo originario del comma.</w:t>
      </w:r>
    </w:p>
    <w:p w14:paraId="4BF461B7" w14:textId="77777777" w:rsidR="00653D96" w:rsidRDefault="00653D96" w:rsidP="00653D96">
      <w:pPr>
        <w:spacing w:before="240" w:after="240"/>
        <w:jc w:val="both"/>
      </w:pPr>
      <w:r>
        <w:t xml:space="preserve">Per quanto riguarda la lettera B, aggiungere </w:t>
      </w:r>
      <w:r w:rsidRPr="0013116B">
        <w:rPr>
          <w:i/>
          <w:iCs/>
        </w:rPr>
        <w:t>“Ai fini dell’applicazione</w:t>
      </w:r>
      <w:r>
        <w:rPr>
          <w:i/>
          <w:iCs/>
        </w:rPr>
        <w:t xml:space="preserve"> </w:t>
      </w:r>
      <w:r w:rsidRPr="0013116B">
        <w:rPr>
          <w:i/>
          <w:iCs/>
        </w:rPr>
        <w:t>del canone si considerano rilevanti i messaggi diffusi allo scopo di promuovere</w:t>
      </w:r>
      <w:r>
        <w:rPr>
          <w:i/>
          <w:iCs/>
        </w:rPr>
        <w:t xml:space="preserve"> </w:t>
      </w:r>
      <w:r w:rsidRPr="0013116B">
        <w:rPr>
          <w:i/>
          <w:iCs/>
        </w:rPr>
        <w:t>la domanda di beni o servizi, ovvero finalizzati a migliorare l’immagine del</w:t>
      </w:r>
      <w:r>
        <w:rPr>
          <w:i/>
          <w:iCs/>
        </w:rPr>
        <w:t xml:space="preserve"> </w:t>
      </w:r>
      <w:r w:rsidRPr="0013116B">
        <w:rPr>
          <w:i/>
          <w:iCs/>
        </w:rPr>
        <w:t>soggetto pubblicizzato”</w:t>
      </w:r>
      <w:r>
        <w:rPr>
          <w:i/>
          <w:iCs/>
        </w:rPr>
        <w:t xml:space="preserve">, </w:t>
      </w:r>
      <w:r w:rsidRPr="00703996">
        <w:t>rappresenta una scelta che va</w:t>
      </w:r>
      <w:r>
        <w:t xml:space="preserve"> decisamente </w:t>
      </w:r>
      <w:r w:rsidRPr="00703996">
        <w:t>in continuità con il passato. Significa</w:t>
      </w:r>
      <w:r>
        <w:t xml:space="preserve"> infatti</w:t>
      </w:r>
      <w:r w:rsidRPr="00703996">
        <w:t xml:space="preserve"> riprendere un concetto già conosciuto e sviluppato con il regime dell’Imposta Comunale sulla Pubblicità</w:t>
      </w:r>
      <w:r>
        <w:t>.</w:t>
      </w:r>
    </w:p>
    <w:p w14:paraId="79558F01" w14:textId="77777777" w:rsidR="00653D96" w:rsidRDefault="00653D96" w:rsidP="00653D96">
      <w:pPr>
        <w:spacing w:before="240" w:after="240"/>
        <w:jc w:val="both"/>
        <w:rPr>
          <w:i/>
        </w:rPr>
      </w:pPr>
      <w:r>
        <w:t xml:space="preserve">La modifica apportata in questi termini, oltre che riprendere la definizione di presupposto dell’ICP contenuta nell’articolo 5 del </w:t>
      </w:r>
      <w:proofErr w:type="spellStart"/>
      <w:r>
        <w:t>D.Lgs</w:t>
      </w:r>
      <w:proofErr w:type="spellEnd"/>
      <w:r>
        <w:t xml:space="preserve"> 507/93, richiamerebbe la definizione comunitaria contenuta nella Direttiva 84/850 del 1984 che considera pubblicità </w:t>
      </w:r>
      <w:r>
        <w:rPr>
          <w:i/>
        </w:rPr>
        <w:t xml:space="preserve">“qualsiasi forma di messaggio che sia diffuso, in qualsiasi modo, nell’esercizio di un’attività commerciale, industriale, artigianale o professionale allo scopo di promuovere la vendita di beni mobili o immobili, la costituzione o il trasferimento di diritto ed obblighi su di essi oppure la prestazione di opere e servizi”. </w:t>
      </w:r>
    </w:p>
    <w:p w14:paraId="40CA93FE" w14:textId="77777777" w:rsidR="00653D96" w:rsidRDefault="00653D96" w:rsidP="00653D96">
      <w:pPr>
        <w:spacing w:before="240" w:after="240"/>
        <w:jc w:val="both"/>
        <w:rPr>
          <w:i/>
        </w:rPr>
      </w:pPr>
      <w:r w:rsidRPr="00816F43">
        <w:rPr>
          <w:iCs/>
        </w:rPr>
        <w:t>Allo stesso modo, una definizione di presupposto</w:t>
      </w:r>
      <w:r>
        <w:rPr>
          <w:iCs/>
        </w:rPr>
        <w:t xml:space="preserve"> così integrata, riprenderebbe fedelmente i</w:t>
      </w:r>
      <w:r>
        <w:t xml:space="preserve"> principi espressi sul tema da parte della Corte di Cassazione, secondo la quale rientra nel presupposto </w:t>
      </w:r>
      <w:r>
        <w:rPr>
          <w:i/>
        </w:rPr>
        <w:t>“qualsiasi mezzo di comunicazione con il pubblico, il quale risulti, indipendentemente dalla ragione e finalità della sua adozione, oggettivamente idoneo a far conoscere indiscriminatamente alla massa indeterminata di possibili acquirenti ed utenti il nome o il prodotto dell’azienda”.</w:t>
      </w:r>
    </w:p>
    <w:p w14:paraId="49B3424D" w14:textId="3A4A4155" w:rsidR="00453C6A" w:rsidRDefault="00453C6A" w:rsidP="00453C6A">
      <w:pPr>
        <w:jc w:val="both"/>
        <w:rPr>
          <w:b/>
          <w:bCs/>
        </w:rPr>
      </w:pPr>
      <w:r w:rsidRPr="006B7795">
        <w:rPr>
          <w:b/>
          <w:bCs/>
        </w:rPr>
        <w:t xml:space="preserve">Articolo 26 comma 1 lettera </w:t>
      </w:r>
      <w:r>
        <w:rPr>
          <w:b/>
          <w:bCs/>
        </w:rPr>
        <w:t>C</w:t>
      </w:r>
      <w:r w:rsidRPr="006B7795">
        <w:rPr>
          <w:b/>
          <w:bCs/>
        </w:rPr>
        <w:t>: la modifica del comma 8</w:t>
      </w:r>
      <w:r>
        <w:rPr>
          <w:b/>
          <w:bCs/>
        </w:rPr>
        <w:t>20</w:t>
      </w:r>
    </w:p>
    <w:p w14:paraId="015CD535" w14:textId="616C002F" w:rsidR="00453C6A" w:rsidRPr="005F7C52" w:rsidRDefault="00453C6A" w:rsidP="00453C6A">
      <w:pPr>
        <w:jc w:val="both"/>
        <w:rPr>
          <w:i/>
          <w:iCs/>
        </w:rPr>
      </w:pPr>
      <w:r>
        <w:rPr>
          <w:kern w:val="0"/>
          <w14:ligatures w14:val="none"/>
        </w:rPr>
        <w:t xml:space="preserve">Nel testo si legge all’articolo 26, comma 1 lettera C: </w:t>
      </w:r>
      <w:r w:rsidRPr="005F7C52">
        <w:rPr>
          <w:kern w:val="0"/>
          <w14:ligatures w14:val="none"/>
        </w:rPr>
        <w:t>al comma 820 dopo le parole</w:t>
      </w:r>
      <w:r w:rsidRPr="005F7C52">
        <w:rPr>
          <w:i/>
          <w:iCs/>
          <w:kern w:val="0"/>
          <w14:ligatures w14:val="none"/>
        </w:rPr>
        <w:t xml:space="preserve"> “lettera b)” </w:t>
      </w:r>
      <w:r w:rsidRPr="005F7C52">
        <w:rPr>
          <w:kern w:val="0"/>
          <w14:ligatures w14:val="none"/>
        </w:rPr>
        <w:t>sono aggiunte le parole</w:t>
      </w:r>
      <w:r w:rsidRPr="005F7C52">
        <w:rPr>
          <w:i/>
          <w:iCs/>
          <w:kern w:val="0"/>
          <w14:ligatures w14:val="none"/>
        </w:rPr>
        <w:t xml:space="preserve"> “, di esclusiva</w:t>
      </w:r>
      <w:r>
        <w:rPr>
          <w:i/>
          <w:iCs/>
          <w:kern w:val="0"/>
          <w14:ligatures w14:val="none"/>
        </w:rPr>
        <w:t xml:space="preserve"> </w:t>
      </w:r>
      <w:r w:rsidRPr="005F7C52">
        <w:rPr>
          <w:i/>
          <w:iCs/>
          <w:kern w:val="0"/>
          <w14:ligatures w14:val="none"/>
        </w:rPr>
        <w:t>competenza comunale”;</w:t>
      </w:r>
    </w:p>
    <w:p w14:paraId="7591BC28" w14:textId="77777777" w:rsidR="00453C6A" w:rsidRDefault="00453C6A" w:rsidP="00453C6A">
      <w:pPr>
        <w:spacing w:before="240" w:after="240"/>
        <w:jc w:val="both"/>
        <w:rPr>
          <w:iCs/>
        </w:rPr>
      </w:pPr>
      <w:r>
        <w:rPr>
          <w:iCs/>
        </w:rPr>
        <w:t xml:space="preserve">La modifica proposta ha evidentemente una duplice finalità. Innanzi tutto chiarisce come sia necessaria l’identità soggettiva dell’ente legittimato alla riscossione del canone per entrambi i presupposti, dopodiché chiarisce uno dei temi che più ha diviso in materia di Canone Unico, ovvero la competenza esclusiva dei Comuni in materia di diffusioni pubblicitarie.  </w:t>
      </w:r>
    </w:p>
    <w:p w14:paraId="72EC33F4" w14:textId="40C89566" w:rsidR="00453C6A" w:rsidRDefault="00453C6A" w:rsidP="00453C6A">
      <w:pPr>
        <w:spacing w:before="240" w:after="240"/>
        <w:jc w:val="both"/>
        <w:rPr>
          <w:kern w:val="0"/>
          <w14:ligatures w14:val="none"/>
        </w:rPr>
      </w:pPr>
      <w:r>
        <w:rPr>
          <w:iCs/>
        </w:rPr>
        <w:lastRenderedPageBreak/>
        <w:t xml:space="preserve">L’aggiunta delle parole </w:t>
      </w:r>
      <w:r w:rsidRPr="005F7C52">
        <w:rPr>
          <w:i/>
          <w:iCs/>
          <w:kern w:val="0"/>
          <w14:ligatures w14:val="none"/>
        </w:rPr>
        <w:t>“di esclusiva</w:t>
      </w:r>
      <w:r>
        <w:rPr>
          <w:i/>
          <w:iCs/>
          <w:kern w:val="0"/>
          <w14:ligatures w14:val="none"/>
        </w:rPr>
        <w:t xml:space="preserve"> </w:t>
      </w:r>
      <w:r w:rsidRPr="005F7C52">
        <w:rPr>
          <w:i/>
          <w:iCs/>
          <w:kern w:val="0"/>
          <w14:ligatures w14:val="none"/>
        </w:rPr>
        <w:t>competenza comunale”</w:t>
      </w:r>
      <w:r>
        <w:rPr>
          <w:kern w:val="0"/>
          <w14:ligatures w14:val="none"/>
        </w:rPr>
        <w:t xml:space="preserve"> assume rilevanza proprio nell’attribuire ai Comuni la esclusiva competenza </w:t>
      </w:r>
      <w:r w:rsidR="00616149">
        <w:rPr>
          <w:kern w:val="0"/>
          <w14:ligatures w14:val="none"/>
        </w:rPr>
        <w:t>la relazione</w:t>
      </w:r>
      <w:r>
        <w:rPr>
          <w:kern w:val="0"/>
          <w14:ligatures w14:val="none"/>
        </w:rPr>
        <w:t xml:space="preserve"> al presupposto di cui alla lettera B del comma 819.</w:t>
      </w:r>
    </w:p>
    <w:p w14:paraId="6C29FACF" w14:textId="77777777" w:rsidR="00616149" w:rsidRDefault="00616149" w:rsidP="00616149">
      <w:pPr>
        <w:spacing w:before="240" w:after="240"/>
        <w:jc w:val="both"/>
      </w:pPr>
      <w:r>
        <w:t>Andiamo per gradi. Innanzi tutto con la modifica capiamo finalmente che il comma troverà applicazione solo quando vi è identità oggettiva e soggettiva. Ovvero quando riferiti ad un impianto pubblicitario che ricade su suolo pubblico, la cui soggettività attiva è riconducibile al medesimo ente. Questi due fattori sono fondamentali per procedere correttamente all’assorbimento dei due presupposti, che viceversa dovrebbero mantenere la loro autonoma funzione.</w:t>
      </w:r>
    </w:p>
    <w:p w14:paraId="43644AE9" w14:textId="77777777" w:rsidR="00616149" w:rsidRDefault="00616149" w:rsidP="00616149">
      <w:pPr>
        <w:spacing w:before="240" w:after="240"/>
        <w:jc w:val="both"/>
      </w:pPr>
      <w:r>
        <w:t>In questo senso è corretto ipotizzare che quando la strada su cui è collocato l’impianto pubblicitario è di competenza della Provincia o della Città Metropolitana e non ricade nelle competenze comunali (interno centro abitato con popolazione superiore a diecimila abitanti), il comma 820 non troverà applicazione e, mentre il Comune riscuote il canone calcolato sulla superficie espositiva, la Provincia o la Città metropolitana riscuoteranno il canone per la superficie relativa l’occupazione del suolo pubblico. Al lato pratico quindi il comma 820 riguarderà potenzialmente solo il Comune, unico soggetto attivo per il presupposto pubblicitario che potrebbe vedere realizzarsi anche il presupposto legato all’occupazione di suolo pubblico su un tratto di strada di sua competenza. Nota a margine, qualora l’ente proprietario della strada su cui ricade l’occupazione dell’impianto non è soggetto attivo CUP (ad esempio ANAS), questi potrà legittimamente richiedere il pagamento del canone ex articolo 27 del Codice della Strada, che come detto in precedenza, non è stato abrogato.</w:t>
      </w:r>
    </w:p>
    <w:p w14:paraId="799AB577" w14:textId="1BA65827" w:rsidR="00616149" w:rsidRDefault="00616149" w:rsidP="00616149">
      <w:pPr>
        <w:spacing w:before="240" w:after="240"/>
        <w:jc w:val="both"/>
        <w:rPr>
          <w:i/>
        </w:rPr>
      </w:pPr>
      <w:r>
        <w:t xml:space="preserve">Sul tema si </w:t>
      </w:r>
      <w:r>
        <w:t>era</w:t>
      </w:r>
      <w:r>
        <w:t xml:space="preserve"> espressa </w:t>
      </w:r>
      <w:r>
        <w:t>già</w:t>
      </w:r>
      <w:r>
        <w:t xml:space="preserve"> IFEL nella nota di approfondimento del 14 aprile 2021 dedicata al riparto tra Comuni e Province. In quell’occasione scriveva. </w:t>
      </w:r>
      <w:r>
        <w:rPr>
          <w:i/>
        </w:rPr>
        <w:t>“il principio dell’assorbimento stabilito dal comma 820 non può che valere nei confronti di un unico soggetto attivo, e quindi solo nei confronti del Comune, unica ipotesi in cui la medesima occupazione può dar luogo sia ad un prelievo collegato all’occupazione sia ad un prelievo collegato alla diffusione di messaggi pubblicitari”</w:t>
      </w:r>
    </w:p>
    <w:p w14:paraId="40BD90AE" w14:textId="78796DF8" w:rsidR="00616149" w:rsidRDefault="00616149" w:rsidP="00616149">
      <w:pPr>
        <w:spacing w:before="240" w:after="240"/>
        <w:jc w:val="both"/>
      </w:pPr>
      <w:r>
        <w:t>Per quanto concerne il requisito oggettivo, ovvero la condizione che prevede come il principio di assorbimento debba necessariamente riferirsi al medesimo oggetto, deve intendersi nel senso che il comma 820 può trovare applicazione</w:t>
      </w:r>
      <w:r w:rsidRPr="00616149">
        <w:t xml:space="preserve"> </w:t>
      </w:r>
      <w:r>
        <w:t xml:space="preserve">solo sugli impianti pubblicitari. Sarebbe infatti sbagliato ipotizzare di applicare il CUP solo sul presupposto pubblicitario quando un'esposizione reclamistica viene diffusa su un elemento che non </w:t>
      </w:r>
      <w:r>
        <w:t>rappresenta</w:t>
      </w:r>
      <w:r>
        <w:t xml:space="preserve"> un impianto pubblicitario.</w:t>
      </w:r>
    </w:p>
    <w:p w14:paraId="0940CBEF" w14:textId="77777777" w:rsidR="00616149" w:rsidRDefault="00616149" w:rsidP="00616149">
      <w:pPr>
        <w:spacing w:before="240" w:after="240"/>
        <w:jc w:val="both"/>
      </w:pPr>
      <w:r>
        <w:t>Come detto la modifica proposta nel comma 820, porta anche, e soprattutto, ad una corretta interpretazione sulla competenza in generale del presupposto pubblicitario.</w:t>
      </w:r>
    </w:p>
    <w:p w14:paraId="15DC4F11" w14:textId="77777777" w:rsidR="00616149" w:rsidRDefault="00616149" w:rsidP="00616149">
      <w:pPr>
        <w:spacing w:before="240" w:after="240"/>
        <w:jc w:val="both"/>
      </w:pPr>
      <w:r>
        <w:t>Con i precedenti prelievi dedicati alle iniziative pubblicitarie, ossia l’Imposta Comunale sulla Pubblicità o l’alternativo canone tributario denominato CIMP, la riscossione era inequivocabilmente solo ed esclusivamente a favore del Comune, individuato dal Legislatore come unico soggetto attivo su tutto il territorio comunale. Strade provinciali, regionali e statali comprese.</w:t>
      </w:r>
    </w:p>
    <w:p w14:paraId="3FD1FE57" w14:textId="77777777" w:rsidR="00616149" w:rsidRDefault="00616149" w:rsidP="00616149">
      <w:pPr>
        <w:spacing w:before="240" w:after="240"/>
        <w:jc w:val="both"/>
      </w:pPr>
      <w:r>
        <w:t>Agli enti proprietari delle strade non rimaneva altro che richiedere, se dai loro regolamenti previsto, il pagamento del canone ex articolo 27 a fronte del rilascio dell’autorizzazione, e in certi casi anche per il solo rilascio del nulla osta, ad installare un impianto pubblicitario lungo la loro strada o in vista di essa.</w:t>
      </w:r>
    </w:p>
    <w:p w14:paraId="76172E29" w14:textId="77777777" w:rsidR="00616149" w:rsidRDefault="00616149" w:rsidP="00616149">
      <w:pPr>
        <w:spacing w:before="240" w:after="240"/>
        <w:jc w:val="both"/>
      </w:pPr>
      <w:r>
        <w:t>Con gli impianti pubblicitari quindi la disciplina ante CUP era del tutto lineare. Gettito ICP di esclusiva competenza comunale, possibilità di richiedere un canone in base all’articolo 27 comma 7 da parte dell’ente proprietario della strada. Nessuna Provincia o Città metropolitana si era quindi mai posta il problema di considerarsi soggetto attivo per il presupposto dell’ICP e di adottarne specifico regolamento.</w:t>
      </w:r>
    </w:p>
    <w:p w14:paraId="7252E3F0" w14:textId="77777777" w:rsidR="00616149" w:rsidRDefault="00616149" w:rsidP="00616149">
      <w:pPr>
        <w:spacing w:before="240" w:after="240"/>
        <w:jc w:val="both"/>
      </w:pPr>
      <w:r>
        <w:lastRenderedPageBreak/>
        <w:t>Oggi, è ancora così e la modifica proposta contenuta nell’articolo 26 comma 1 lettera C, porta a confermare quello che era già un orientamento diffuso.</w:t>
      </w:r>
    </w:p>
    <w:p w14:paraId="70FF5091" w14:textId="77777777" w:rsidR="00616149" w:rsidRDefault="00616149" w:rsidP="00616149">
      <w:pPr>
        <w:spacing w:before="240" w:after="240"/>
        <w:jc w:val="both"/>
        <w:rPr>
          <w:b/>
          <w:bCs/>
        </w:rPr>
      </w:pPr>
      <w:r w:rsidRPr="00616149">
        <w:rPr>
          <w:b/>
          <w:bCs/>
        </w:rPr>
        <w:t>Rimane quindi ferma la convinzione che il nuovo prelievo non abbia spostato la soggettività attiva da un ente all’altro.  Per questo, con il canone unico, la Provincia e gli altri Enti territoriali potranno continuare a pretendere solo la componente collegata all’occupazione di suolo pubblico e non anche quella collegata alla diffusione dei messaggi pubblicitari.</w:t>
      </w:r>
    </w:p>
    <w:p w14:paraId="75CFD164" w14:textId="77777777" w:rsidR="00616149" w:rsidRDefault="00616149" w:rsidP="00616149">
      <w:pPr>
        <w:spacing w:before="240" w:after="240"/>
        <w:jc w:val="both"/>
      </w:pPr>
      <w:r>
        <w:t>In linea con questa interpretazione, abbiamo visto nei mesi scorsi anche la prima sentenza, a conferma che il presupposto pubblicitario sia da considerare sempre e comunque ad esclusivo vantaggio dei comuni. La Corte di Giustizia Tributaria di Milano, con la sentenza n.260 del 27 gennaio scorso, ha ritenuto infatti del tutto irrilevante la circostanza che l'installazione dei mezzi pubblicitari avvenga su strade provinciali, regionali o statali. La competenza autorizzatoria, che può interessare ad esempio la provincia così come l'Anas, non comporta il pagamento del canone per la diffusione di messaggi pubblicitari in loro favore.</w:t>
      </w:r>
    </w:p>
    <w:p w14:paraId="40A0E51C" w14:textId="77777777" w:rsidR="00616149" w:rsidRPr="00EA2F54" w:rsidRDefault="00616149" w:rsidP="00616149">
      <w:pPr>
        <w:jc w:val="both"/>
        <w:rPr>
          <w:i/>
          <w:iCs/>
        </w:rPr>
      </w:pPr>
      <w:r>
        <w:t xml:space="preserve">Anche il TAR a più riprese ha detto che il presupposto pubblicitario debba considerarsi ad esclusivo appannaggio dei Comuni. Nelle sentenze 1848/2023 e 1850/2023 del TAR Lombardia, si esprime in questi termini: </w:t>
      </w:r>
      <w:r w:rsidRPr="00EA2F54">
        <w:rPr>
          <w:i/>
          <w:iCs/>
        </w:rPr>
        <w:t xml:space="preserve">“Non si ravvisa dunque alcuna ipotesi di illegittimità nell’atto regolamentare impugnato, </w:t>
      </w:r>
      <w:r w:rsidRPr="00332356">
        <w:rPr>
          <w:i/>
          <w:iCs/>
        </w:rPr>
        <w:t>che prevede di applicare il canone unico a tutto il territorio comunale, ivi compresi i tratti stradali che di esso</w:t>
      </w:r>
      <w:r w:rsidRPr="00EA2F54">
        <w:rPr>
          <w:i/>
          <w:iCs/>
        </w:rPr>
        <w:t xml:space="preserve"> fanno parte - ai fini dell’applicazione del C.U. - ai sensi del combinato disposto tra l’art. 1 comma 818 L. 160/2019 e l’art. 2 comma 7 del Codice della Strada.”</w:t>
      </w:r>
    </w:p>
    <w:p w14:paraId="5AD2E91B" w14:textId="77777777" w:rsidR="00616149" w:rsidRDefault="00616149" w:rsidP="00616149">
      <w:pPr>
        <w:jc w:val="both"/>
        <w:rPr>
          <w:b/>
          <w:bCs/>
        </w:rPr>
      </w:pPr>
      <w:r w:rsidRPr="00616149">
        <w:rPr>
          <w:b/>
          <w:bCs/>
        </w:rPr>
        <w:t>Pertanto, se la proposta contenuta nell’articolo 26 comma 1 lettera C dovesse essere introdotta, si risolverebbe definitivamente la problematica attribuendo ex lege la competenza esclusiva ai Comuni sul presupposto di cui alla lettera B del comma 819 della Legge 160/2019.</w:t>
      </w:r>
    </w:p>
    <w:p w14:paraId="6B74DD3F" w14:textId="77777777" w:rsidR="00FA3E4D" w:rsidRPr="00616149" w:rsidRDefault="00FA3E4D" w:rsidP="00616149">
      <w:pPr>
        <w:jc w:val="both"/>
        <w:rPr>
          <w:b/>
          <w:bCs/>
        </w:rPr>
      </w:pPr>
    </w:p>
    <w:p w14:paraId="73F3F2B2" w14:textId="10C3B14F" w:rsidR="003E15C0" w:rsidRDefault="003E15C0" w:rsidP="003E15C0">
      <w:pPr>
        <w:jc w:val="both"/>
        <w:rPr>
          <w:b/>
          <w:bCs/>
        </w:rPr>
      </w:pPr>
      <w:r w:rsidRPr="006B7795">
        <w:rPr>
          <w:b/>
          <w:bCs/>
        </w:rPr>
        <w:t xml:space="preserve">Articolo 26 comma 1 lettera </w:t>
      </w:r>
      <w:r>
        <w:rPr>
          <w:b/>
          <w:bCs/>
        </w:rPr>
        <w:t>D</w:t>
      </w:r>
      <w:r w:rsidRPr="006B7795">
        <w:rPr>
          <w:b/>
          <w:bCs/>
        </w:rPr>
        <w:t>: la modifica del comma 8</w:t>
      </w:r>
      <w:r>
        <w:rPr>
          <w:b/>
          <w:bCs/>
        </w:rPr>
        <w:t>2</w:t>
      </w:r>
      <w:r w:rsidR="00FA3E4D">
        <w:rPr>
          <w:b/>
          <w:bCs/>
        </w:rPr>
        <w:t>1</w:t>
      </w:r>
    </w:p>
    <w:p w14:paraId="36617714" w14:textId="7402DB17" w:rsidR="00FA3E4D" w:rsidRDefault="00FA3E4D" w:rsidP="00FA3E4D">
      <w:pPr>
        <w:jc w:val="both"/>
        <w:rPr>
          <w:i/>
          <w:iCs/>
          <w:kern w:val="0"/>
          <w14:ligatures w14:val="none"/>
        </w:rPr>
      </w:pPr>
      <w:r>
        <w:rPr>
          <w:kern w:val="0"/>
          <w14:ligatures w14:val="none"/>
        </w:rPr>
        <w:t xml:space="preserve">Nel testo si </w:t>
      </w:r>
      <w:r>
        <w:rPr>
          <w:kern w:val="0"/>
          <w14:ligatures w14:val="none"/>
        </w:rPr>
        <w:t xml:space="preserve">legge: </w:t>
      </w:r>
      <w:r w:rsidRPr="00476DED">
        <w:rPr>
          <w:kern w:val="0"/>
          <w14:ligatures w14:val="none"/>
        </w:rPr>
        <w:t>“</w:t>
      </w:r>
      <w:r w:rsidRPr="00476DED">
        <w:rPr>
          <w:i/>
          <w:iCs/>
          <w:kern w:val="0"/>
          <w14:ligatures w14:val="none"/>
        </w:rPr>
        <w:t>al comma 821, dell’articolo 1 della legge 27 dicembre 2019, n. 160 sono apportate le seguenti modificazioni:1) alla lettera c) il numero “20.000” è sostituito con: “10.000”; 2) alla lettera g) dopo la parola “presumendo” aggiungere “in ogni caso”.</w:t>
      </w:r>
    </w:p>
    <w:p w14:paraId="1D0023C7" w14:textId="77777777" w:rsidR="00FA3E4D" w:rsidRDefault="00FA3E4D" w:rsidP="00FA3E4D">
      <w:pPr>
        <w:jc w:val="both"/>
        <w:rPr>
          <w:iCs/>
        </w:rPr>
      </w:pPr>
      <w:r>
        <w:t xml:space="preserve">Le due modifiche proposte vanno ad interessare 2 punti del comma 821, la lettera c) che riguarda il Piano generale degli Impianti Pubblicitari e la lettera g) che riguarda l’applicazione e il calcolo dell’indennità prevista </w:t>
      </w:r>
      <w:r w:rsidRPr="00625A06">
        <w:rPr>
          <w:iCs/>
        </w:rPr>
        <w:t>per le occupazioni e la diffusione di messaggi pubblicitari realizzate abusivamente</w:t>
      </w:r>
      <w:r>
        <w:rPr>
          <w:iCs/>
        </w:rPr>
        <w:t>.</w:t>
      </w:r>
    </w:p>
    <w:p w14:paraId="4704EF74" w14:textId="77777777" w:rsidR="00FA3E4D" w:rsidRDefault="00FA3E4D" w:rsidP="00FA3E4D">
      <w:pPr>
        <w:jc w:val="both"/>
        <w:rPr>
          <w:iCs/>
        </w:rPr>
      </w:pPr>
      <w:r>
        <w:rPr>
          <w:iCs/>
        </w:rPr>
        <w:t>La modifica proposta renderebbe obbligatorio dotarsi di un PGIP a tutti i comuni con popolazione superiore a 10mila abitanti. Una scelta per allargare la platea di comuni che devono necessariamente dotarsi di un piano.</w:t>
      </w:r>
    </w:p>
    <w:p w14:paraId="2362FDD3" w14:textId="77777777" w:rsidR="00FA3E4D" w:rsidRDefault="00FA3E4D" w:rsidP="00FA3E4D">
      <w:pPr>
        <w:jc w:val="both"/>
      </w:pPr>
      <w:r>
        <w:rPr>
          <w:iCs/>
        </w:rPr>
        <w:t>Scelta più che condivisibile per gli effetti positivi che l’adozione di un piano per gli impianti può portare nel contesto del territorio di un ente locale.</w:t>
      </w:r>
    </w:p>
    <w:p w14:paraId="27B04279" w14:textId="77777777" w:rsidR="00FA3E4D" w:rsidRDefault="00FA3E4D" w:rsidP="00FA3E4D">
      <w:pPr>
        <w:jc w:val="both"/>
      </w:pPr>
      <w:r>
        <w:t xml:space="preserve">L’obiettivo è quello di regolamentare la distribuzione degli impianti pubblicitari sul territorio di competenza, al fine di razionalizzare il posizionamento dei manufatti nel rispetto delle prescrizioni e dei vincoli imposti dai vigenti strumenti urbanistici Comunali e dalle norme generali in materia di installazioni pubblicitarie. Inoltre, deve indicare i dettami generali relativamente alle tipologie dei manufatti consentiti ed alle superfici massime ammissibili per tipologia. </w:t>
      </w:r>
    </w:p>
    <w:p w14:paraId="2FF2E5FD" w14:textId="77777777" w:rsidR="00FA3E4D" w:rsidRDefault="00FA3E4D" w:rsidP="00FA3E4D">
      <w:pPr>
        <w:jc w:val="both"/>
      </w:pPr>
      <w:r>
        <w:t xml:space="preserve">La realizzazione del Piano generale degli impianti pubblicitari deve inoltre identificare, coerentemente con gli indirizzi generali, alcune finalità qualificanti, con particolare riguardo ai temi, della sicurezza: riferita alla </w:t>
      </w:r>
      <w:r>
        <w:lastRenderedPageBreak/>
        <w:t xml:space="preserve">mobilità in generale (pedonale e veicolare), con attenzione sia agli aspetti più specificamente visivi sia a quelli di tipo antinfortunistico; del decoro e della compatibilità ambientale: con l’intento di evitare che nel rapporto tra pubblicità e ambiente quest’ultimo non debba essere penalizzato, ma, al contrario, possa trovare giovamento dall’inserimento di mezzi pubblicitari, progettati, costruiti e localizzati secondo criteri di compatibilità ambientale; della funzionalità: intesa anzitutto come occasione di aumento della fruibilità del contesto cittadino, laddove il Piano, oltre a governare l’esistente e le forme tradizionali di pubblicità, si pone come strumento di indirizzo, disciplinando l’inserimento di mezzi pubblicitari di concezione più moderna associati a funzioni di pubblica utilità oppure a elementi di arredo urbano. </w:t>
      </w:r>
    </w:p>
    <w:p w14:paraId="146DE012" w14:textId="77777777" w:rsidR="00FA3E4D" w:rsidRDefault="00FA3E4D" w:rsidP="00FA3E4D">
      <w:pPr>
        <w:jc w:val="both"/>
      </w:pPr>
      <w:r>
        <w:t>Ecco quindi che con la modifica proposta si vuole portare più comuni possibili ad organizzarsi con un PGIP, strumento che purtroppo in questi anni è stato sottovalutato da moltissime amministrazioni locali.</w:t>
      </w:r>
    </w:p>
    <w:p w14:paraId="75361F23" w14:textId="42061ADF" w:rsidR="00FA3E4D" w:rsidRDefault="00FA3E4D" w:rsidP="00FA3E4D">
      <w:pPr>
        <w:jc w:val="both"/>
        <w:rPr>
          <w:iCs/>
        </w:rPr>
      </w:pPr>
      <w:r>
        <w:t xml:space="preserve">la seconda modifica proposta riguarda la lettera G del comma 821 </w:t>
      </w:r>
      <w:r>
        <w:t>con</w:t>
      </w:r>
      <w:r>
        <w:rPr>
          <w:iCs/>
        </w:rPr>
        <w:t xml:space="preserve"> l’aggiunta delle parole </w:t>
      </w:r>
      <w:r w:rsidRPr="008D25DD">
        <w:rPr>
          <w:i/>
        </w:rPr>
        <w:t>“in ogni caso”</w:t>
      </w:r>
      <w:r>
        <w:rPr>
          <w:i/>
        </w:rPr>
        <w:t xml:space="preserve"> </w:t>
      </w:r>
      <w:r>
        <w:rPr>
          <w:iCs/>
        </w:rPr>
        <w:t>nel contesto della frase dedicata alle occupazioni ed esposizioni pubblicitarie abusive temporanee. Con questa modifica, il Legislatore va a chiarire la portata della disposizione con la quale si stabilisce la durata da utilizzare per il calcolo dell’indennità.</w:t>
      </w:r>
    </w:p>
    <w:p w14:paraId="38558A9C" w14:textId="77777777" w:rsidR="00FA3E4D" w:rsidRDefault="00FA3E4D" w:rsidP="00FA3E4D">
      <w:pPr>
        <w:spacing w:before="240" w:after="240"/>
        <w:jc w:val="both"/>
      </w:pPr>
      <w:r>
        <w:t>Il concetto di indennità deriva dalla disciplina COSAP, in particolare trova origine dalla lettera G del comma 2 dell’articolo 63 del D. Lgs 446/97. Il canone, a differenza dei regimi tributari, è strettamente vincolato al rilascio di un atto amministrativo di concessione o di autorizzazione, così che, tutte le volte che siamo di fronte ad una occupazione di suolo pubblico abusiva o ad una esposizione pubblicitaria senza titolo, diventa illogico parlare di canone. Si è voluto pertanto prevedere una diversa voce, l’indennità appunto, da utilizzare tutte le volte che si deve richiedere il pagamento derivante proprio dall’occupazione o dall’esposizione pubblicitaria abusiva o difforme rispetto al titolo.</w:t>
      </w:r>
    </w:p>
    <w:p w14:paraId="44B3571E" w14:textId="77777777" w:rsidR="00FA3E4D" w:rsidRDefault="00FA3E4D" w:rsidP="00FA3E4D">
      <w:pPr>
        <w:spacing w:before="240" w:after="240"/>
        <w:jc w:val="both"/>
      </w:pPr>
      <w:r>
        <w:t>Il Legislatore in questo senso ha previsto a carico di chi realizza un abuso, un’obbligazione patrimoniale che sia quanto meno uguale a quella che avrebbero pagato se avesse richiesto la concessione o l’autorizzazione all’ente competente. Il legislatore ha previsto di più, dando la possibilità agli enti di definire l’importo dell’indennità maggiorando fino al 50 per cento rispetto a quanto avviene con le tariffe del canone ordinario.</w:t>
      </w:r>
    </w:p>
    <w:p w14:paraId="2F21E893" w14:textId="77777777" w:rsidR="00FA3E4D" w:rsidRDefault="00FA3E4D" w:rsidP="00FA3E4D">
      <w:pPr>
        <w:spacing w:before="240" w:after="240"/>
        <w:jc w:val="both"/>
      </w:pPr>
      <w:r>
        <w:t>L’indennità come detto si innesca nel momento in cui si deve calcolare il dovuto per un’occupazione di suolo pubblico abusiva, ovvero senza concessione, o con destinazione d’uso diversa da quella prevista in concessione, oppure per una diffusione di messaggi pubblicitari realizzata senza la preventiva autorizzazione, ovvero risultanti non conformi alle condizioni stabilite dall'autorizzazione per forma, contenuto, dimensioni, sistemazione o ubicazione.</w:t>
      </w:r>
    </w:p>
    <w:p w14:paraId="42E41E9A" w14:textId="77777777" w:rsidR="00FA3E4D" w:rsidRDefault="00FA3E4D" w:rsidP="00FA3E4D">
      <w:pPr>
        <w:spacing w:before="240" w:after="240"/>
        <w:jc w:val="both"/>
      </w:pPr>
      <w:r>
        <w:t>Il Legislatore nel punto G ha previsto il criterio di calcolo da adottare quando ci troviamo di fronte ad una occupazione/esposizione abusiva, chiarendo che per le occupazioni e la diffusione di messaggi pubblicitari realizzate con impianti o manufatti di carattere stabile, si dovrà partire dalla tariffa permanente, ovvero quella definita ad anno solare, il cui importo è stato fissato al comma 826, ma che ogni ente potrà modificare in base ai propri equilibri, mentre, per le occupazioni temporanee, il Legislatore ha adottato un criterio di calcolo basato su una finzione giuridica, ovvero ipotizzando l’occupazione o l’esposizione pubblicitaria temporanea come se fosse stata realizzata nei trenta giorni antecedenti a quella del verbale di accertamento.</w:t>
      </w:r>
    </w:p>
    <w:p w14:paraId="4476D38F" w14:textId="77777777" w:rsidR="00FA3E4D" w:rsidRDefault="00FA3E4D" w:rsidP="00FA3E4D">
      <w:pPr>
        <w:spacing w:before="240" w:after="240"/>
        <w:jc w:val="both"/>
      </w:pPr>
      <w:r>
        <w:t>Una misura che deve intendersi come modalità di calcolo afflittiva nei confronti del trasgressore che ha occupato/esposto abusivamente. Un metodo di calcolo che si rende necessario per non svilire l’attività di accertamento che viceversa dovrebbe eseguirsi solo per la data in cui è stata accertata l’occupazione o l’esposizione pubblicitaria abusiva. Quindi, a tutti gli effetti, una misura afflittiva al fine di prevenire l’evento contrario all’ordinamento cui si riferiscono, e risarcitoria per il danno procurato alla P.A. e alla collettività.</w:t>
      </w:r>
    </w:p>
    <w:p w14:paraId="1D9EF815" w14:textId="77777777" w:rsidR="00FA3E4D" w:rsidRDefault="00FA3E4D" w:rsidP="00FA3E4D">
      <w:pPr>
        <w:spacing w:before="240" w:after="240"/>
        <w:jc w:val="both"/>
      </w:pPr>
      <w:r>
        <w:lastRenderedPageBreak/>
        <w:t xml:space="preserve">Su questo tema si era aperto tuttavia un dibattito, perché se è corretto e pacifico prevedere di calcolare il dovuto per una occupazione o esposizione temporanea applicando il calcolo di 30 giorni, è da valutare se in sede di contraddittorio con il contribuente, la misura possa o meno essere rettificata davanti ad una prova documentale o testimoniale che porti a definire inequivocabilmente una durata inferiore ai 30 giorni stabiliti dal legislatore. Diventa dirimente il tipo di presunzione derivante dal verbale di accertamento. Potrebbero infatti porsi profili di criticità tra presunzione </w:t>
      </w:r>
      <w:r w:rsidRPr="00865BCF">
        <w:rPr>
          <w:i/>
          <w:iCs/>
        </w:rPr>
        <w:t>iuris et de iure</w:t>
      </w:r>
      <w:r>
        <w:t xml:space="preserve">, che non ammette prova contraria, e </w:t>
      </w:r>
      <w:r w:rsidRPr="00865BCF">
        <w:rPr>
          <w:i/>
          <w:iCs/>
        </w:rPr>
        <w:t>iuris tantum</w:t>
      </w:r>
      <w:r>
        <w:t>, che invece la ammette.</w:t>
      </w:r>
    </w:p>
    <w:p w14:paraId="769FFD04" w14:textId="77777777" w:rsidR="00FA3E4D" w:rsidRDefault="00FA3E4D" w:rsidP="00FA3E4D">
      <w:pPr>
        <w:spacing w:before="240" w:after="240"/>
        <w:jc w:val="both"/>
      </w:pPr>
      <w:r>
        <w:t>Da una parte c’era chi riteneva che la scelta del Legislatore fosse legata meramente ad un criterio di calcolo. Un utilizzo del conteggio per 30 giorni senza alcuna effettiva presunzione sulla effettiva durata, ma basandosi solamente sulla presenza dell’abuso quel determinato giorno individuato nel verbale del pubblico ufficiale. In questo caso eventuali prove sull’effettiva durata dell’occupazione non sarebbero state oggetto di valutazione o possibile rettifica del provvedimento emesso. Dall’altra invece chi riteneva che l’accertamento si basasse su una effettiva presunzione di occupazione, e il calcolo dei 30 giorni derivasse proprio da questo, e di conseguenza si tratti di una cosiddetta presunzione iuris tantum e quindi soggetta a prova contraria.</w:t>
      </w:r>
    </w:p>
    <w:p w14:paraId="72BA75EA" w14:textId="77777777" w:rsidR="00FA3E4D" w:rsidRDefault="00FA3E4D" w:rsidP="00FA3E4D">
      <w:pPr>
        <w:spacing w:before="240" w:after="240"/>
        <w:jc w:val="both"/>
      </w:pPr>
      <w:r>
        <w:t>Con la modifica proposta si va proprio a dirimere la questione e si andrà “</w:t>
      </w:r>
      <w:r w:rsidRPr="00F237B7">
        <w:rPr>
          <w:i/>
          <w:iCs/>
        </w:rPr>
        <w:t>in ogni caso</w:t>
      </w:r>
      <w:r>
        <w:t>” ad applicare la durata di 30 giorni come criterio di calcolo da utilizzare tutte le volte che si accerta un’occupazione o una esposizione pubblicitari abusiva temporanea, indipendentemente dalla effettiva durata.</w:t>
      </w:r>
    </w:p>
    <w:p w14:paraId="7B609BAC" w14:textId="68A18524" w:rsidR="0049732D" w:rsidRDefault="0049732D" w:rsidP="0049732D">
      <w:pPr>
        <w:jc w:val="both"/>
        <w:rPr>
          <w:b/>
          <w:bCs/>
        </w:rPr>
      </w:pPr>
      <w:r w:rsidRPr="006B7795">
        <w:rPr>
          <w:b/>
          <w:bCs/>
        </w:rPr>
        <w:t xml:space="preserve">Articolo 26 comma 1 lettera </w:t>
      </w:r>
      <w:r>
        <w:rPr>
          <w:b/>
          <w:bCs/>
        </w:rPr>
        <w:t>E</w:t>
      </w:r>
      <w:r w:rsidRPr="006B7795">
        <w:rPr>
          <w:b/>
          <w:bCs/>
        </w:rPr>
        <w:t>: la modifica del comma 8</w:t>
      </w:r>
      <w:r>
        <w:rPr>
          <w:b/>
          <w:bCs/>
        </w:rPr>
        <w:t>2</w:t>
      </w:r>
      <w:r>
        <w:rPr>
          <w:b/>
          <w:bCs/>
        </w:rPr>
        <w:t>3</w:t>
      </w:r>
    </w:p>
    <w:p w14:paraId="0E6EED8C" w14:textId="5A6A98D5" w:rsidR="0049732D" w:rsidRDefault="0049732D" w:rsidP="0049732D">
      <w:pPr>
        <w:jc w:val="both"/>
        <w:rPr>
          <w:i/>
          <w:iCs/>
          <w:kern w:val="0"/>
          <w14:ligatures w14:val="none"/>
        </w:rPr>
      </w:pPr>
      <w:r>
        <w:rPr>
          <w:kern w:val="0"/>
          <w14:ligatures w14:val="none"/>
        </w:rPr>
        <w:t>Nel testo si legge:</w:t>
      </w:r>
      <w:r w:rsidRPr="00476DED">
        <w:rPr>
          <w:kern w:val="0"/>
          <w14:ligatures w14:val="none"/>
        </w:rPr>
        <w:t xml:space="preserve"> </w:t>
      </w:r>
      <w:r>
        <w:rPr>
          <w:kern w:val="0"/>
          <w14:ligatures w14:val="none"/>
        </w:rPr>
        <w:t>“</w:t>
      </w:r>
      <w:r w:rsidRPr="000B110F">
        <w:rPr>
          <w:kern w:val="0"/>
          <w14:ligatures w14:val="none"/>
        </w:rPr>
        <w:t>al comma 823 in fine è aggiunto il seguente periodo</w:t>
      </w:r>
      <w:r w:rsidRPr="00105CA7">
        <w:rPr>
          <w:i/>
          <w:iCs/>
          <w:kern w:val="0"/>
          <w14:ligatures w14:val="none"/>
        </w:rPr>
        <w:t>: “Nel caso di installazione di</w:t>
      </w:r>
      <w:r>
        <w:rPr>
          <w:i/>
          <w:iCs/>
          <w:kern w:val="0"/>
          <w14:ligatures w14:val="none"/>
        </w:rPr>
        <w:t xml:space="preserve"> </w:t>
      </w:r>
      <w:r w:rsidRPr="00105CA7">
        <w:rPr>
          <w:i/>
          <w:iCs/>
          <w:kern w:val="0"/>
          <w14:ligatures w14:val="none"/>
        </w:rPr>
        <w:t>una pluralità di segnali turistici o di territorio o di frecce direzionali, su un unico</w:t>
      </w:r>
      <w:r>
        <w:rPr>
          <w:i/>
          <w:iCs/>
          <w:kern w:val="0"/>
          <w14:ligatures w14:val="none"/>
        </w:rPr>
        <w:t xml:space="preserve"> </w:t>
      </w:r>
      <w:r w:rsidRPr="00105CA7">
        <w:rPr>
          <w:i/>
          <w:iCs/>
          <w:kern w:val="0"/>
          <w14:ligatures w14:val="none"/>
        </w:rPr>
        <w:t>impianto pubblicitario, anche riferiti a soggetti ed aziende diverse, la superficie da</w:t>
      </w:r>
      <w:r>
        <w:rPr>
          <w:i/>
          <w:iCs/>
          <w:kern w:val="0"/>
          <w14:ligatures w14:val="none"/>
        </w:rPr>
        <w:t xml:space="preserve"> </w:t>
      </w:r>
      <w:r w:rsidRPr="00105CA7">
        <w:rPr>
          <w:i/>
          <w:iCs/>
          <w:kern w:val="0"/>
          <w14:ligatures w14:val="none"/>
        </w:rPr>
        <w:t>assoggettare al canone unico patrimoniale è quella dell’intero impianto oggetto</w:t>
      </w:r>
      <w:r>
        <w:rPr>
          <w:i/>
          <w:iCs/>
          <w:kern w:val="0"/>
          <w14:ligatures w14:val="none"/>
        </w:rPr>
        <w:t xml:space="preserve"> </w:t>
      </w:r>
      <w:r w:rsidRPr="00105CA7">
        <w:rPr>
          <w:i/>
          <w:iCs/>
          <w:kern w:val="0"/>
          <w14:ligatures w14:val="none"/>
        </w:rPr>
        <w:t>della concessione o dell’autorizzazione. Nell’ipotesi in cui i titolari del</w:t>
      </w:r>
      <w:r>
        <w:rPr>
          <w:i/>
          <w:iCs/>
          <w:kern w:val="0"/>
          <w14:ligatures w14:val="none"/>
        </w:rPr>
        <w:t xml:space="preserve"> </w:t>
      </w:r>
      <w:r w:rsidRPr="00105CA7">
        <w:rPr>
          <w:i/>
          <w:iCs/>
          <w:kern w:val="0"/>
          <w14:ligatures w14:val="none"/>
        </w:rPr>
        <w:t>provvedimento di concessione o di autorizzazione all’installazione dell’impianto</w:t>
      </w:r>
      <w:r>
        <w:rPr>
          <w:i/>
          <w:iCs/>
          <w:kern w:val="0"/>
          <w14:ligatures w14:val="none"/>
        </w:rPr>
        <w:t xml:space="preserve"> </w:t>
      </w:r>
      <w:r w:rsidRPr="00105CA7">
        <w:rPr>
          <w:i/>
          <w:iCs/>
          <w:kern w:val="0"/>
          <w14:ligatures w14:val="none"/>
        </w:rPr>
        <w:t>sono diversi, il canone va liquidato distintamente, commisurandolo alla superficie</w:t>
      </w:r>
      <w:r>
        <w:rPr>
          <w:i/>
          <w:iCs/>
          <w:kern w:val="0"/>
          <w14:ligatures w14:val="none"/>
        </w:rPr>
        <w:t xml:space="preserve"> </w:t>
      </w:r>
      <w:r w:rsidRPr="00105CA7">
        <w:rPr>
          <w:i/>
          <w:iCs/>
          <w:kern w:val="0"/>
          <w14:ligatures w14:val="none"/>
        </w:rPr>
        <w:t>del segnale o del gruppo segnaletico che è nella disponibilità di ciascuno di essi”.</w:t>
      </w:r>
    </w:p>
    <w:p w14:paraId="509BC5C3" w14:textId="77777777" w:rsidR="0049732D" w:rsidRDefault="0049732D" w:rsidP="0049732D">
      <w:pPr>
        <w:jc w:val="both"/>
        <w:rPr>
          <w:kern w:val="0"/>
          <w14:ligatures w14:val="none"/>
        </w:rPr>
      </w:pPr>
      <w:r>
        <w:rPr>
          <w:kern w:val="0"/>
          <w14:ligatures w14:val="none"/>
        </w:rPr>
        <w:t>Con questa modifica si vuole definitivamente fissare una linea univoca di comportamento quando i singoli enti territoriali si trovano a calcolare il canone dovuto da iniziative che vedono la compresenza di più segnali all’interno dello stesso impianto. La proposta va nella direzione che prevede l’analisi di due requisiti. Uno oggettivo legato al manufatto che ospita i singoli messaggi, l’altro soggettivo che vincola la modalità di applicazione in base al numero di titolari delle concessioni o autorizzazioni in relazione al medesimo impianto.</w:t>
      </w:r>
    </w:p>
    <w:p w14:paraId="02FEA2A2" w14:textId="21562FF7" w:rsidR="0049732D" w:rsidRDefault="0049732D" w:rsidP="0049732D">
      <w:pPr>
        <w:jc w:val="both"/>
        <w:rPr>
          <w:kern w:val="0"/>
          <w14:ligatures w14:val="none"/>
        </w:rPr>
      </w:pPr>
      <w:r>
        <w:rPr>
          <w:kern w:val="0"/>
          <w14:ligatures w14:val="none"/>
        </w:rPr>
        <w:t xml:space="preserve">La questione ha origini lontane, con sviluppi nel corso della vita dell’imposta sulla Pubblicità non univoci, anche se oggi piuttosto orientati nel ritenere ciascun messaggio autonomamente soggetto al pagamento del canone. Tuttavia con questa proposta di modifica si è sentita l’esigenza di disporre una linea, per certi versi in </w:t>
      </w:r>
      <w:r>
        <w:rPr>
          <w:kern w:val="0"/>
          <w14:ligatures w14:val="none"/>
        </w:rPr>
        <w:t>controtendenza, che</w:t>
      </w:r>
      <w:r>
        <w:rPr>
          <w:kern w:val="0"/>
          <w14:ligatures w14:val="none"/>
        </w:rPr>
        <w:t xml:space="preserve"> trovi comunque un omogeneo trattamento su tutto il territorio nazionale. </w:t>
      </w:r>
    </w:p>
    <w:p w14:paraId="7D78A59C" w14:textId="77777777" w:rsidR="0049732D" w:rsidRDefault="0049732D" w:rsidP="0049732D">
      <w:pPr>
        <w:jc w:val="both"/>
        <w:rPr>
          <w:kern w:val="0"/>
          <w14:ligatures w14:val="none"/>
        </w:rPr>
      </w:pPr>
      <w:r>
        <w:rPr>
          <w:kern w:val="0"/>
          <w14:ligatures w14:val="none"/>
        </w:rPr>
        <w:t>Giusto pensare da parte del Legislatore a questa modifica, anche se il pensiero va subito alle molte altre situazioni non definite con l’introduzione del nuovo canone e che rappresentano ancora una criticità,  ben superiore a questa, voluta proporre peraltro con una linea applicativa discutibile, che favorisce le ditte specializzate del settore e penalizza ancora una volta i soggetti attivi dell’entrata.</w:t>
      </w:r>
    </w:p>
    <w:p w14:paraId="1876498F" w14:textId="77777777" w:rsidR="0049732D" w:rsidRPr="00472A22" w:rsidRDefault="0049732D" w:rsidP="0049732D">
      <w:pPr>
        <w:jc w:val="both"/>
        <w:rPr>
          <w:kern w:val="0"/>
          <w14:ligatures w14:val="none"/>
        </w:rPr>
      </w:pPr>
      <w:r>
        <w:rPr>
          <w:kern w:val="0"/>
          <w14:ligatures w14:val="none"/>
        </w:rPr>
        <w:t xml:space="preserve">Tra gli aspetti da rilevare su questa disposizione c’è anche la sottintesa e definita attrazione nel presupposto applicativo delle indicazioni stradali e dei segnali turistici e di territorio. </w:t>
      </w:r>
      <w:proofErr w:type="spellStart"/>
      <w:r>
        <w:rPr>
          <w:kern w:val="0"/>
          <w14:ligatures w14:val="none"/>
        </w:rPr>
        <w:t>Gia</w:t>
      </w:r>
      <w:proofErr w:type="spellEnd"/>
      <w:r>
        <w:rPr>
          <w:kern w:val="0"/>
          <w14:ligatures w14:val="none"/>
        </w:rPr>
        <w:t xml:space="preserve"> in passato su questo si era espressa la Corte di </w:t>
      </w:r>
      <w:r w:rsidRPr="00472A22">
        <w:rPr>
          <w:kern w:val="0"/>
          <w14:ligatures w14:val="none"/>
        </w:rPr>
        <w:t xml:space="preserve">Cassazione con l’ordinanza n. 8616/14, 17852/2004 </w:t>
      </w:r>
      <w:proofErr w:type="spellStart"/>
      <w:r w:rsidRPr="00472A22">
        <w:rPr>
          <w:kern w:val="0"/>
          <w14:ligatures w14:val="none"/>
        </w:rPr>
        <w:t>seconda</w:t>
      </w:r>
      <w:proofErr w:type="spellEnd"/>
      <w:r w:rsidRPr="00472A22">
        <w:rPr>
          <w:kern w:val="0"/>
          <w14:ligatures w14:val="none"/>
        </w:rPr>
        <w:t xml:space="preserve"> la quale</w:t>
      </w:r>
      <w:r>
        <w:rPr>
          <w:i/>
          <w:iCs/>
          <w:kern w:val="0"/>
          <w14:ligatures w14:val="none"/>
        </w:rPr>
        <w:t>: “</w:t>
      </w:r>
      <w:r w:rsidRPr="00472A22">
        <w:rPr>
          <w:i/>
          <w:iCs/>
          <w:kern w:val="0"/>
          <w14:ligatures w14:val="none"/>
        </w:rPr>
        <w:t xml:space="preserve">le indicazioni stradali e i segnali turistici e di territorio che forniscono agli utenti informazioni necessarie o utili per la guida e la individuazione di località, itinerari, servizi e impianti, svolgono per la loro sostanziale natura di insegne, </w:t>
      </w:r>
      <w:r w:rsidRPr="00472A22">
        <w:rPr>
          <w:i/>
          <w:iCs/>
          <w:kern w:val="0"/>
          <w14:ligatures w14:val="none"/>
        </w:rPr>
        <w:lastRenderedPageBreak/>
        <w:t xml:space="preserve">anche una funzione pubblicitaria tassabile, ai sensi dell'art. 5 </w:t>
      </w:r>
      <w:proofErr w:type="spellStart"/>
      <w:r w:rsidRPr="00472A22">
        <w:rPr>
          <w:i/>
          <w:iCs/>
          <w:kern w:val="0"/>
          <w14:ligatures w14:val="none"/>
        </w:rPr>
        <w:t>D.Lgs.</w:t>
      </w:r>
      <w:proofErr w:type="spellEnd"/>
      <w:r w:rsidRPr="00472A22">
        <w:rPr>
          <w:i/>
          <w:iCs/>
          <w:kern w:val="0"/>
          <w14:ligatures w14:val="none"/>
        </w:rPr>
        <w:t xml:space="preserve"> cit.. Non può, d'altra parte, non rilevarsi come le indicazioni oggetto di controversia siano state esposte in un contesto di esercizio d'attività commerciale, e, quand'anche non direttamente volte a promuovere l'immagine o i prodotti dell'impresa interessata, tuttavia, si rivelano utili o necessarie ad un più proficuo svolgimento dell'attività d'impresa .…”.</w:t>
      </w:r>
    </w:p>
    <w:p w14:paraId="0CF0BE68" w14:textId="77777777" w:rsidR="0049732D" w:rsidRDefault="0049732D" w:rsidP="0049732D">
      <w:pPr>
        <w:jc w:val="both"/>
        <w:rPr>
          <w:kern w:val="0"/>
          <w14:ligatures w14:val="none"/>
        </w:rPr>
      </w:pPr>
      <w:r>
        <w:rPr>
          <w:kern w:val="0"/>
          <w14:ligatures w14:val="none"/>
        </w:rPr>
        <w:t xml:space="preserve">Su criterio di “tassazione” invece la giurisprudenza nel corso degli anni aveva assunto un orientamento diverso rispetto a quanto contenuto nella proposta. Troviamo in particolare le sentenze di Corte di Cassazione </w:t>
      </w:r>
      <w:r w:rsidRPr="00A91243">
        <w:rPr>
          <w:kern w:val="0"/>
          <w14:ligatures w14:val="none"/>
        </w:rPr>
        <w:t>n° 252/2012 e n° 10459/2018</w:t>
      </w:r>
      <w:r>
        <w:rPr>
          <w:kern w:val="0"/>
          <w14:ligatures w14:val="none"/>
        </w:rPr>
        <w:t>,</w:t>
      </w:r>
      <w:r w:rsidRPr="00A91243">
        <w:rPr>
          <w:kern w:val="0"/>
          <w14:ligatures w14:val="none"/>
        </w:rPr>
        <w:t xml:space="preserve"> relative all'ICP, in cui è </w:t>
      </w:r>
      <w:r>
        <w:rPr>
          <w:kern w:val="0"/>
          <w14:ligatures w14:val="none"/>
        </w:rPr>
        <w:t xml:space="preserve">stabilito, </w:t>
      </w:r>
      <w:r w:rsidRPr="00A91243">
        <w:rPr>
          <w:kern w:val="0"/>
          <w14:ligatures w14:val="none"/>
        </w:rPr>
        <w:t>che la divulgazione tramite un unico mezzo pubblicitario di plurimi messaggi relativi ad aziende diverse, non consente di liquidare l'imposta in base alla complessiva superficie della figura geometrica rappresentata dal pannello dovendosi invece essere liquidate tante imposte per quanti sono i messaggi pubblicitari, arrotondando la superficie di ciascuna freccia.</w:t>
      </w:r>
      <w:r>
        <w:rPr>
          <w:kern w:val="0"/>
          <w14:ligatures w14:val="none"/>
        </w:rPr>
        <w:t xml:space="preserve"> </w:t>
      </w:r>
    </w:p>
    <w:p w14:paraId="0AC54BE4" w14:textId="6C1EE29D" w:rsidR="0049732D" w:rsidRDefault="0049732D" w:rsidP="0049732D">
      <w:pPr>
        <w:jc w:val="both"/>
        <w:rPr>
          <w:kern w:val="0"/>
          <w14:ligatures w14:val="none"/>
        </w:rPr>
      </w:pPr>
      <w:r>
        <w:rPr>
          <w:kern w:val="0"/>
          <w14:ligatures w14:val="none"/>
        </w:rPr>
        <w:t xml:space="preserve">In particolare la sentenza 10459/2018 </w:t>
      </w:r>
      <w:r w:rsidRPr="00A91243">
        <w:rPr>
          <w:kern w:val="0"/>
          <w14:ligatures w14:val="none"/>
        </w:rPr>
        <w:t xml:space="preserve">ha affermato il principio secondo il quale nell’ipotesi di plurimi messaggi </w:t>
      </w:r>
      <w:r w:rsidR="001C2E48" w:rsidRPr="00A91243">
        <w:rPr>
          <w:kern w:val="0"/>
          <w14:ligatures w14:val="none"/>
        </w:rPr>
        <w:t>pubblicitari di</w:t>
      </w:r>
      <w:r w:rsidRPr="00A91243">
        <w:rPr>
          <w:kern w:val="0"/>
          <w14:ligatures w14:val="none"/>
        </w:rPr>
        <w:t xml:space="preserve"> aziende </w:t>
      </w:r>
      <w:r w:rsidR="001C2E48" w:rsidRPr="00A91243">
        <w:rPr>
          <w:kern w:val="0"/>
          <w14:ligatures w14:val="none"/>
        </w:rPr>
        <w:t>diverse collocati</w:t>
      </w:r>
      <w:r w:rsidRPr="00A91243">
        <w:rPr>
          <w:kern w:val="0"/>
          <w14:ligatures w14:val="none"/>
        </w:rPr>
        <w:t xml:space="preserve"> su un unico pannello, il tributo deve essere determinato in base alla superficie espositiva utilizzata da ciascuna delle imprese reclamizzate, indipendentemente dalle dimensioni del mezzo pubblicitario cumulativo.</w:t>
      </w:r>
      <w:r>
        <w:rPr>
          <w:kern w:val="0"/>
          <w14:ligatures w14:val="none"/>
        </w:rPr>
        <w:t xml:space="preserve"> </w:t>
      </w:r>
    </w:p>
    <w:p w14:paraId="2FC6D235" w14:textId="7D1C827B" w:rsidR="001C2E48" w:rsidRPr="00011D63" w:rsidRDefault="001C2E48" w:rsidP="001C2E48">
      <w:pPr>
        <w:jc w:val="both"/>
        <w:rPr>
          <w:kern w:val="0"/>
          <w14:ligatures w14:val="none"/>
        </w:rPr>
      </w:pPr>
      <w:r w:rsidRPr="00011D63">
        <w:rPr>
          <w:kern w:val="0"/>
          <w14:ligatures w14:val="none"/>
        </w:rPr>
        <w:t>Sulla scorta di questa sentenza si rit</w:t>
      </w:r>
      <w:r>
        <w:rPr>
          <w:kern w:val="0"/>
          <w14:ligatures w14:val="none"/>
        </w:rPr>
        <w:t>eneva</w:t>
      </w:r>
      <w:r w:rsidRPr="00011D63">
        <w:rPr>
          <w:kern w:val="0"/>
          <w14:ligatures w14:val="none"/>
        </w:rPr>
        <w:t xml:space="preserve"> definitivamente superata l’indicazione contenuta nella Risoluzione Ministeriale 21 Marzo 1994, n° 7/</w:t>
      </w:r>
      <w:r w:rsidRPr="00011D63">
        <w:rPr>
          <w:kern w:val="0"/>
          <w14:ligatures w14:val="none"/>
        </w:rPr>
        <w:t>819 nella</w:t>
      </w:r>
      <w:r w:rsidRPr="00011D63">
        <w:rPr>
          <w:kern w:val="0"/>
          <w14:ligatures w14:val="none"/>
        </w:rPr>
        <w:t xml:space="preserve"> quale si chiariva che se le </w:t>
      </w:r>
      <w:proofErr w:type="spellStart"/>
      <w:r w:rsidRPr="00011D63">
        <w:rPr>
          <w:kern w:val="0"/>
          <w14:ligatures w14:val="none"/>
        </w:rPr>
        <w:t>preinsegne</w:t>
      </w:r>
      <w:proofErr w:type="spellEnd"/>
      <w:r w:rsidRPr="00011D63">
        <w:rPr>
          <w:kern w:val="0"/>
          <w14:ligatures w14:val="none"/>
        </w:rPr>
        <w:t xml:space="preserve"> risultano inserite, per effetto dell’atto autorizzatorio che ne consente l’esposizione, in una struttura fornita di cornice perimetrale in rilievo, ai fini del calcolo dell’imposta si deve tener conto della sola superficie del pannello.</w:t>
      </w:r>
    </w:p>
    <w:p w14:paraId="11A2721B" w14:textId="77777777" w:rsidR="001C2E48" w:rsidRPr="00011D63" w:rsidRDefault="001C2E48" w:rsidP="001C2E48">
      <w:pPr>
        <w:jc w:val="both"/>
        <w:rPr>
          <w:i/>
          <w:iCs/>
          <w:kern w:val="0"/>
          <w14:ligatures w14:val="none"/>
        </w:rPr>
      </w:pPr>
      <w:r w:rsidRPr="00011D63">
        <w:rPr>
          <w:kern w:val="0"/>
          <w14:ligatures w14:val="none"/>
        </w:rPr>
        <w:t xml:space="preserve">Anche la nota del Mef 19899/2014 emessa successivamente alla sentenza della Cassazione n.  252/2012 </w:t>
      </w:r>
      <w:r>
        <w:rPr>
          <w:kern w:val="0"/>
          <w14:ligatures w14:val="none"/>
        </w:rPr>
        <w:t>doveva</w:t>
      </w:r>
      <w:r w:rsidRPr="00011D63">
        <w:rPr>
          <w:kern w:val="0"/>
          <w14:ligatures w14:val="none"/>
        </w:rPr>
        <w:t xml:space="preserve"> ritenersi superata dalla lettura della sentenza 10459/2018 che in modo preciso e inequivocabile </w:t>
      </w:r>
      <w:r w:rsidRPr="00011D63">
        <w:rPr>
          <w:i/>
          <w:iCs/>
          <w:kern w:val="0"/>
          <w14:ligatures w14:val="none"/>
        </w:rPr>
        <w:t xml:space="preserve">ribadisce “… l’interpretazione sistematica della citata norma di cui all’art. 7 comma 1 e 2 del </w:t>
      </w:r>
      <w:proofErr w:type="spellStart"/>
      <w:r w:rsidRPr="00011D63">
        <w:rPr>
          <w:i/>
          <w:iCs/>
          <w:kern w:val="0"/>
          <w14:ligatures w14:val="none"/>
        </w:rPr>
        <w:t>d.lgs</w:t>
      </w:r>
      <w:proofErr w:type="spellEnd"/>
      <w:r w:rsidRPr="00011D63">
        <w:rPr>
          <w:i/>
          <w:iCs/>
          <w:kern w:val="0"/>
          <w14:ligatures w14:val="none"/>
        </w:rPr>
        <w:t xml:space="preserve"> n. 507/1993, in relazione all’art. 6, comma 2 del citato decreto, che estende al soggetto nel cui interesse è diffuso il messaggio pubblicitario la solidarietà per l’obbligazione tributaria posta a carico del titolare o comunque di colui che ha la disponibilità del “mezzo </w:t>
      </w:r>
      <w:proofErr w:type="spellStart"/>
      <w:r w:rsidRPr="00011D63">
        <w:rPr>
          <w:i/>
          <w:iCs/>
          <w:kern w:val="0"/>
          <w14:ligatures w14:val="none"/>
        </w:rPr>
        <w:t>pubblicitrario</w:t>
      </w:r>
      <w:proofErr w:type="spellEnd"/>
      <w:r w:rsidRPr="00011D63">
        <w:rPr>
          <w:i/>
          <w:iCs/>
          <w:kern w:val="0"/>
          <w14:ligatures w14:val="none"/>
        </w:rPr>
        <w:t>”; previsione quest’ultima che, come espresso dalla succitata sentenza, non può che trovare esclusiva giustificazione razionale nell’indissolubile legame tra “mezzo” e “messaggio” pubblicitario individuato come fondamento del presupposto d’imposta”</w:t>
      </w:r>
    </w:p>
    <w:p w14:paraId="200020AB" w14:textId="77777777" w:rsidR="001C2E48" w:rsidRPr="00011D63" w:rsidRDefault="001C2E48" w:rsidP="001C2E48">
      <w:pPr>
        <w:jc w:val="both"/>
        <w:rPr>
          <w:kern w:val="0"/>
          <w14:ligatures w14:val="none"/>
        </w:rPr>
      </w:pPr>
      <w:r w:rsidRPr="00011D63">
        <w:rPr>
          <w:kern w:val="0"/>
          <w14:ligatures w14:val="none"/>
        </w:rPr>
        <w:t xml:space="preserve">La nota del  Mef del 7 luglio 2014  prot. n.19899, aveva provato a sostenere che la sentenza della Corte di cassazione 252/2012 non atteneva in realtà alla determinazione e liquidazione dell'imposta, ma solo al caso diverso in cui si manifesti un inadempimento, con conseguente necessità di procedere con distinte quantificazioni a seconda dei soggetti solidalmente responsabili. </w:t>
      </w:r>
    </w:p>
    <w:p w14:paraId="3FF21610" w14:textId="77777777" w:rsidR="001C2E48" w:rsidRDefault="001C2E48" w:rsidP="001C2E48">
      <w:pPr>
        <w:jc w:val="both"/>
        <w:rPr>
          <w:kern w:val="0"/>
          <w14:ligatures w14:val="none"/>
        </w:rPr>
      </w:pPr>
      <w:r w:rsidRPr="00011D63">
        <w:rPr>
          <w:kern w:val="0"/>
          <w14:ligatures w14:val="none"/>
        </w:rPr>
        <w:t xml:space="preserve">Questa interpretazione </w:t>
      </w:r>
      <w:r>
        <w:rPr>
          <w:kern w:val="0"/>
          <w14:ligatures w14:val="none"/>
        </w:rPr>
        <w:t>era stata</w:t>
      </w:r>
      <w:r w:rsidRPr="00011D63">
        <w:rPr>
          <w:kern w:val="0"/>
          <w14:ligatures w14:val="none"/>
        </w:rPr>
        <w:t xml:space="preserve"> evidentemente superata come detto dalla sentenza 10459/2018</w:t>
      </w:r>
      <w:r>
        <w:rPr>
          <w:kern w:val="0"/>
          <w14:ligatures w14:val="none"/>
        </w:rPr>
        <w:t xml:space="preserve"> che oggi a sua volta verrebbe travolta dalla modifica di Legge proposta, che parte dall’individuare il soggetto passivo per definire di conseguenza il criterio di misurazione a applicazione del canone.</w:t>
      </w:r>
    </w:p>
    <w:p w14:paraId="45454AC4" w14:textId="77777777" w:rsidR="001C2E48" w:rsidRDefault="001C2E48" w:rsidP="001C2E48">
      <w:pPr>
        <w:jc w:val="both"/>
        <w:rPr>
          <w:kern w:val="0"/>
          <w14:ligatures w14:val="none"/>
        </w:rPr>
      </w:pPr>
      <w:r>
        <w:rPr>
          <w:kern w:val="0"/>
          <w14:ligatures w14:val="none"/>
        </w:rPr>
        <w:t>Ecco spiegata la scelta di inserire questa disposizione nel comma 823 dedicato al soggetto passivo, piuttosto che nel successivo  comma 825 dedicato ai criteri di definizione del canone per la componente pubblicitaria.</w:t>
      </w:r>
    </w:p>
    <w:p w14:paraId="0E520AB6" w14:textId="77777777" w:rsidR="001C2E48" w:rsidRDefault="001C2E48" w:rsidP="001C2E48">
      <w:pPr>
        <w:jc w:val="both"/>
        <w:rPr>
          <w:kern w:val="0"/>
          <w14:ligatures w14:val="none"/>
        </w:rPr>
      </w:pPr>
      <w:r>
        <w:rPr>
          <w:kern w:val="0"/>
          <w14:ligatures w14:val="none"/>
        </w:rPr>
        <w:t>Sulla base della proposta di legge, diventa infatti dirimente la presenza di uno oppure più concessionari dell’impianto per procedere al calcolo delle relative superfici imponibili. Criterio che, come detto, va in diversa direzione rispetto all’orientamento recente assunto dalla Corte di cassazione.</w:t>
      </w:r>
    </w:p>
    <w:p w14:paraId="7C71A2DC" w14:textId="77777777" w:rsidR="001C2E48" w:rsidRDefault="001C2E48" w:rsidP="001C2E48">
      <w:pPr>
        <w:jc w:val="both"/>
        <w:rPr>
          <w:kern w:val="0"/>
          <w14:ligatures w14:val="none"/>
        </w:rPr>
      </w:pPr>
      <w:r>
        <w:rPr>
          <w:kern w:val="0"/>
          <w14:ligatures w14:val="none"/>
        </w:rPr>
        <w:t xml:space="preserve">Delle proposte di modifica della disciplina CUP, finora analizzate questa sembra quella meno necessaria e la meno aderente agli orientamenti fin qui assunti dagli uffici. Comprensibile la scelta di ancorare il criterio ai soggetti in possesso del titolo amministrativo in aderenza all’impostazione generale dell’entrata, tuttavia il presupposto viene realizzato sui singoli messaggi, in modo autonomo e la stessa commercializzazione da parte delle società pubblicitarie non segue la logica dell’intero impianto ma del singolo messaggio, così che </w:t>
      </w:r>
      <w:r>
        <w:rPr>
          <w:kern w:val="0"/>
          <w14:ligatures w14:val="none"/>
        </w:rPr>
        <w:lastRenderedPageBreak/>
        <w:t>sarebbe naturale abbinare a ciascun segnale una autonoma imposizione e conseguente criterio di misurazione e arrotondamento.</w:t>
      </w:r>
    </w:p>
    <w:p w14:paraId="61957E15" w14:textId="77777777" w:rsidR="001C2E48" w:rsidRDefault="001C2E48" w:rsidP="001C2E48">
      <w:pPr>
        <w:jc w:val="both"/>
        <w:rPr>
          <w:kern w:val="0"/>
          <w14:ligatures w14:val="none"/>
        </w:rPr>
      </w:pPr>
    </w:p>
    <w:p w14:paraId="08375B95" w14:textId="7FE3020B" w:rsidR="001C2E48" w:rsidRDefault="001C2E48" w:rsidP="001C2E48">
      <w:pPr>
        <w:jc w:val="both"/>
        <w:rPr>
          <w:b/>
          <w:bCs/>
        </w:rPr>
      </w:pPr>
      <w:r w:rsidRPr="006B7795">
        <w:rPr>
          <w:b/>
          <w:bCs/>
        </w:rPr>
        <w:t xml:space="preserve">Articolo 26 comma 1 lettera </w:t>
      </w:r>
      <w:r>
        <w:rPr>
          <w:b/>
          <w:bCs/>
        </w:rPr>
        <w:t>F</w:t>
      </w:r>
      <w:r w:rsidRPr="006B7795">
        <w:rPr>
          <w:b/>
          <w:bCs/>
        </w:rPr>
        <w:t>: la modifica del comma 8</w:t>
      </w:r>
      <w:r>
        <w:rPr>
          <w:b/>
          <w:bCs/>
        </w:rPr>
        <w:t>2</w:t>
      </w:r>
      <w:r>
        <w:rPr>
          <w:b/>
          <w:bCs/>
        </w:rPr>
        <w:t>5</w:t>
      </w:r>
    </w:p>
    <w:p w14:paraId="7ADFB0D3" w14:textId="6421BE4F" w:rsidR="001C2E48" w:rsidRDefault="001C2E48" w:rsidP="001C2E48">
      <w:pPr>
        <w:spacing w:before="240" w:after="240"/>
        <w:jc w:val="both"/>
        <w:rPr>
          <w:i/>
          <w:iCs/>
          <w:kern w:val="0"/>
          <w14:ligatures w14:val="none"/>
        </w:rPr>
      </w:pPr>
      <w:r>
        <w:rPr>
          <w:kern w:val="0"/>
          <w14:ligatures w14:val="none"/>
        </w:rPr>
        <w:t xml:space="preserve">Nel testo si </w:t>
      </w:r>
      <w:r w:rsidR="003E2635">
        <w:rPr>
          <w:kern w:val="0"/>
          <w14:ligatures w14:val="none"/>
        </w:rPr>
        <w:t>legge:</w:t>
      </w:r>
      <w:r w:rsidR="003E2635" w:rsidRPr="00B93754">
        <w:rPr>
          <w:i/>
          <w:iCs/>
          <w:kern w:val="0"/>
          <w14:ligatures w14:val="none"/>
        </w:rPr>
        <w:t xml:space="preserve"> “</w:t>
      </w:r>
      <w:r w:rsidRPr="00B93754">
        <w:rPr>
          <w:i/>
          <w:iCs/>
          <w:kern w:val="0"/>
          <w14:ligatures w14:val="none"/>
        </w:rPr>
        <w:t>al comma 825 dopo le parole “mezzo pubblicitario,” sono inserite le seguenti: “esclusa quella relativa agli elementi che non posseggono alcun effetto pubblicitario”</w:t>
      </w:r>
    </w:p>
    <w:p w14:paraId="0D33E698" w14:textId="7E86384B" w:rsidR="00525C27" w:rsidRDefault="00525C27" w:rsidP="00525C27">
      <w:pPr>
        <w:jc w:val="both"/>
        <w:rPr>
          <w:kern w:val="0"/>
          <w14:ligatures w14:val="none"/>
        </w:rPr>
      </w:pPr>
      <w:r>
        <w:rPr>
          <w:kern w:val="0"/>
          <w14:ligatures w14:val="none"/>
        </w:rPr>
        <w:t xml:space="preserve">Con questa </w:t>
      </w:r>
      <w:r w:rsidR="003E2635">
        <w:rPr>
          <w:kern w:val="0"/>
          <w14:ligatures w14:val="none"/>
        </w:rPr>
        <w:t xml:space="preserve">ultima </w:t>
      </w:r>
      <w:r>
        <w:rPr>
          <w:kern w:val="0"/>
          <w14:ligatures w14:val="none"/>
        </w:rPr>
        <w:t xml:space="preserve">modifica </w:t>
      </w:r>
      <w:r w:rsidR="003E2635">
        <w:rPr>
          <w:kern w:val="0"/>
          <w14:ligatures w14:val="none"/>
        </w:rPr>
        <w:t xml:space="preserve">proposta </w:t>
      </w:r>
      <w:r>
        <w:rPr>
          <w:kern w:val="0"/>
          <w14:ligatures w14:val="none"/>
        </w:rPr>
        <w:t>si vuole definitivamente chiarire, anche se nessuno lo dubitava, che la superficie da prendere in considerazione è sola quella espositiva, utilizzabile ai fini pubblicitari, escludendo come logico che sia, la parte di impianto strutturale e funzionale, indentificata nella cornice e nei supporti per renderlo self standing, ovvero, per usare le parole della proposta di modifica, escludendo dal calcolo della superficie quegli elementi del mezzo che non hanno effetto pubblicitario.</w:t>
      </w:r>
    </w:p>
    <w:p w14:paraId="1B22028E" w14:textId="77777777" w:rsidR="00525C27" w:rsidRDefault="00525C27" w:rsidP="00525C27">
      <w:pPr>
        <w:jc w:val="both"/>
        <w:rPr>
          <w:kern w:val="0"/>
          <w14:ligatures w14:val="none"/>
        </w:rPr>
      </w:pPr>
      <w:r>
        <w:rPr>
          <w:kern w:val="0"/>
          <w14:ligatures w14:val="none"/>
        </w:rPr>
        <w:t>Le sentenze su questo tema si sono già orientate nella direzione oggi proposta, così che davvero credo che nessun ufficio oggi possa ipotizzare di applicare il canone su cornici o elementi strutturali non destinati a diffondere un messaggio pubblicitario.</w:t>
      </w:r>
    </w:p>
    <w:p w14:paraId="02C8B0F2" w14:textId="77777777" w:rsidR="00525C27" w:rsidRDefault="00525C27" w:rsidP="00525C27">
      <w:pPr>
        <w:jc w:val="both"/>
      </w:pPr>
      <w:r>
        <w:t>Tra le tante si richiama la s</w:t>
      </w:r>
      <w:r w:rsidRPr="00650B27">
        <w:t>entenza</w:t>
      </w:r>
      <w:r>
        <w:t xml:space="preserve"> del </w:t>
      </w:r>
      <w:r w:rsidRPr="00650B27">
        <w:t>30.10.2009  n. 23023,</w:t>
      </w:r>
      <w:r>
        <w:t xml:space="preserve"> con la quale </w:t>
      </w:r>
      <w:r w:rsidRPr="00650B27">
        <w:t xml:space="preserve"> la Corte di Cassazione aveva stabilito che la superficie del mezzo circostante il messaggio pubblicitario resta esente dall'imposizione in quanto sia costituita da una cornice oggettivamente distinta dallo spazio destinato alla pubblicità, che sia anche strutturalmente inidonea ad essere utilizzata per la diffusione del messaggio.</w:t>
      </w:r>
    </w:p>
    <w:p w14:paraId="6838DF98" w14:textId="77777777" w:rsidR="00525C27" w:rsidRDefault="00525C27" w:rsidP="00525C27">
      <w:pPr>
        <w:jc w:val="both"/>
      </w:pPr>
      <w:r>
        <w:t xml:space="preserve">Assodato quindi che la modifica confermi questa logica di tassazione, affrontiamo una possibile seconda chiave di lettura del testo proposto, supponendo che l’intenzione della modifica fosse rivolta ad una casistica diversa. </w:t>
      </w:r>
    </w:p>
    <w:p w14:paraId="68E6C673" w14:textId="77777777" w:rsidR="00525C27" w:rsidRDefault="00525C27" w:rsidP="00525C27">
      <w:pPr>
        <w:jc w:val="both"/>
      </w:pPr>
      <w:r>
        <w:t xml:space="preserve">Il pensiero va ai casi in cui la pubblicità viene effettuata su fascioni o strutture che fanno parte dell’impianto pubblicitario ma che non hanno le caratteristiche di diffondere un messaggio pubblicitario. </w:t>
      </w:r>
    </w:p>
    <w:p w14:paraId="785820C3" w14:textId="567E415C" w:rsidR="00525C27" w:rsidRDefault="00525C27" w:rsidP="00525C27">
      <w:pPr>
        <w:jc w:val="both"/>
        <w:rPr>
          <w:i/>
          <w:iCs/>
        </w:rPr>
      </w:pPr>
      <w:r>
        <w:t xml:space="preserve">Nella risoluzione ministeriale Finanze del 18/12/1997, n.231/E si </w:t>
      </w:r>
      <w:r>
        <w:t xml:space="preserve">leggeva:  </w:t>
      </w:r>
      <w:r w:rsidRPr="00EE06D7">
        <w:rPr>
          <w:i/>
          <w:iCs/>
        </w:rPr>
        <w:t xml:space="preserve">“…dover considerare come mezzo pubblicitario non l'intero fascione ma i vari mezzi pubblicitari che su di esso sono apposti. Poiché, infatti, i cassonetti in questione occupano solo in minima parte la superficie del fascione, non può essere riconosciuto a quest'ultimo altro effetto che quello di abbellire l'ingresso dell'esercizio commerciale. Una diversa soluzione sarebbe sicuramente contraria allo spirito della legge, in quanto non </w:t>
      </w:r>
      <w:proofErr w:type="spellStart"/>
      <w:r w:rsidRPr="00EE06D7">
        <w:rPr>
          <w:i/>
          <w:iCs/>
        </w:rPr>
        <w:t>e'</w:t>
      </w:r>
      <w:proofErr w:type="spellEnd"/>
      <w:r w:rsidRPr="00EE06D7">
        <w:rPr>
          <w:i/>
          <w:iCs/>
        </w:rPr>
        <w:t xml:space="preserve"> possibile estendere la definizione di superficie imponibile a strutture di mero supporto strumentale prive di effetto pubblicitario”</w:t>
      </w:r>
    </w:p>
    <w:p w14:paraId="67EDC3C3" w14:textId="77777777" w:rsidR="00525C27" w:rsidRDefault="00525C27" w:rsidP="00525C27">
      <w:pPr>
        <w:jc w:val="both"/>
      </w:pPr>
      <w:r>
        <w:t>Questa risoluzione aprì una serie di contenziosi proprio sull’interpretazione da riservare a quei casi dove in discussione non c’erano cornici o pali di sostegno, ma parti di un “fascione” che ospitava al suo interno dei distinti impianti pubblicitari. La valutazione in questi casi diventa meno scontata e ogni singolo caso necessità di un approfondimento. In questo senso la risoluzione del Ministero complicò le cose, aprendo ad interpretazioni distorte, ritendo dei fascioni, con chiari richiami all’attività, esclusi dalla superficie imponibile.</w:t>
      </w:r>
    </w:p>
    <w:p w14:paraId="277BF179" w14:textId="77777777" w:rsidR="00525C27" w:rsidRDefault="00525C27" w:rsidP="00525C27">
      <w:pPr>
        <w:jc w:val="both"/>
      </w:pPr>
      <w:r>
        <w:t xml:space="preserve">Sulla scorta di questa problematica troviamo diverse sentenza tra le quali la </w:t>
      </w:r>
      <w:r w:rsidRPr="009B1F8D">
        <w:t xml:space="preserve">Sentenza </w:t>
      </w:r>
      <w:r>
        <w:t xml:space="preserve">di </w:t>
      </w:r>
      <w:r w:rsidRPr="009B1F8D">
        <w:t xml:space="preserve">Cassazione </w:t>
      </w:r>
      <w:r>
        <w:t xml:space="preserve">del </w:t>
      </w:r>
      <w:r w:rsidRPr="009B1F8D">
        <w:t>06.12.2012  n. 12684</w:t>
      </w:r>
      <w:r>
        <w:t>, con la quale i giudici hanno chiarito come: “</w:t>
      </w:r>
      <w:r w:rsidRPr="009B1F8D">
        <w:rPr>
          <w:i/>
          <w:iCs/>
        </w:rPr>
        <w:t>se il supporto – nella specie il "fascione" – è destinato contestualmente sia a reggere la pubblicità sia ad altre funzioni, bisogna distinguere ciò che fa parte del "mezzo pubblicitario" da ciò che non ne fa parte. Ne fa parte tutto ciò che collega graficamente il "mezzo" al "messaggio", se per rilievo dimensionale, peculiari caratteristiche coloristiche e riferimenti grafici e/o cromatici a marchi e/o insegne aziendali dia luogo a un mezzo globalmente più "attirante".</w:t>
      </w:r>
    </w:p>
    <w:p w14:paraId="58EB7C6F" w14:textId="77777777" w:rsidR="00525C27" w:rsidRPr="009B1F8D" w:rsidRDefault="00525C27" w:rsidP="00525C27">
      <w:pPr>
        <w:jc w:val="both"/>
      </w:pPr>
      <w:r>
        <w:lastRenderedPageBreak/>
        <w:t>In questo contesto la proposta di modifica non si pone in contrasto con quanto sostenuto dalla Corte di Cassazione che richiama la soggettività passiva per il fascione che, per caratteristiche, colore e riferimenti grafici, accresce l’efficacia pubblicitaria dei diversi mezzi collocati su di esso.</w:t>
      </w:r>
    </w:p>
    <w:p w14:paraId="2C5F15D1" w14:textId="77777777" w:rsidR="003E2635" w:rsidRDefault="003E2635" w:rsidP="00525C27">
      <w:pPr>
        <w:jc w:val="both"/>
      </w:pPr>
      <w:r>
        <w:t>Q</w:t>
      </w:r>
      <w:r w:rsidR="00525C27">
        <w:t>uest’ultima proposta, appare quindi poco incisiva e non apporta significativi miglioramenti sui criteri di calcolo del canone per le diffusioni pubblicitarie</w:t>
      </w:r>
      <w:r>
        <w:t xml:space="preserve">, oggi regolati dal comma 825. </w:t>
      </w:r>
    </w:p>
    <w:p w14:paraId="03935117" w14:textId="790E0E5F" w:rsidR="00525C27" w:rsidRDefault="00525C27" w:rsidP="00525C27">
      <w:pPr>
        <w:jc w:val="both"/>
      </w:pPr>
      <w:r>
        <w:t xml:space="preserve">Ben altre modifiche sarebbero state necessarie, sia per completare </w:t>
      </w:r>
      <w:r w:rsidR="003E2635">
        <w:t>lo stesso</w:t>
      </w:r>
      <w:r>
        <w:t xml:space="preserve"> comma 825, sia per </w:t>
      </w:r>
      <w:r w:rsidR="003E2635">
        <w:t xml:space="preserve">integrare le  molte disposizioni riguardanti </w:t>
      </w:r>
      <w:r>
        <w:t xml:space="preserve">la disciplina CUP che invece non hanno trovato considerazione </w:t>
      </w:r>
      <w:r>
        <w:t>da parte degli</w:t>
      </w:r>
      <w:r>
        <w:t xml:space="preserve"> estensori della proposta di modifica.</w:t>
      </w:r>
    </w:p>
    <w:p w14:paraId="1DEC6406" w14:textId="77777777" w:rsidR="00525C27" w:rsidRDefault="00525C27" w:rsidP="001C2E48">
      <w:pPr>
        <w:spacing w:before="240" w:after="240"/>
        <w:jc w:val="both"/>
        <w:rPr>
          <w:i/>
          <w:iCs/>
          <w:kern w:val="0"/>
          <w14:ligatures w14:val="none"/>
        </w:rPr>
      </w:pPr>
    </w:p>
    <w:p w14:paraId="56CFBF03" w14:textId="77777777" w:rsidR="001C2E48" w:rsidRPr="006B7795" w:rsidRDefault="001C2E48" w:rsidP="00C4033B">
      <w:pPr>
        <w:jc w:val="both"/>
        <w:rPr>
          <w:b/>
          <w:bCs/>
        </w:rPr>
      </w:pPr>
    </w:p>
    <w:p w14:paraId="71C13F7F" w14:textId="77777777" w:rsidR="003C52E5" w:rsidRDefault="003C52E5" w:rsidP="003C52E5"/>
    <w:p w14:paraId="4B1DB8EC" w14:textId="77777777" w:rsidR="00060149" w:rsidRDefault="00060149"/>
    <w:sectPr w:rsidR="00060149">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40"/>
  <w:proofState w:spelling="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5793"/>
    <w:rsid w:val="00060149"/>
    <w:rsid w:val="001C2E48"/>
    <w:rsid w:val="003C52E5"/>
    <w:rsid w:val="003E15C0"/>
    <w:rsid w:val="003E2635"/>
    <w:rsid w:val="00453C6A"/>
    <w:rsid w:val="0049732D"/>
    <w:rsid w:val="004B5793"/>
    <w:rsid w:val="00525C27"/>
    <w:rsid w:val="00616149"/>
    <w:rsid w:val="00653D96"/>
    <w:rsid w:val="00680E06"/>
    <w:rsid w:val="006B7795"/>
    <w:rsid w:val="00872017"/>
    <w:rsid w:val="00BA48B6"/>
    <w:rsid w:val="00C4033B"/>
    <w:rsid w:val="00FA3E4D"/>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80EEA1"/>
  <w15:chartTrackingRefBased/>
  <w15:docId w15:val="{17A0A01F-6E01-4F83-A0E9-36FD1CA437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it-I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3C52E5"/>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51</TotalTime>
  <Pages>10</Pages>
  <Words>5563</Words>
  <Characters>31714</Characters>
  <Application>Microsoft Office Word</Application>
  <DocSecurity>0</DocSecurity>
  <Lines>264</Lines>
  <Paragraphs>74</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37203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alessandro merciari</dc:creator>
  <cp:keywords/>
  <dc:description/>
  <cp:lastModifiedBy>alessandro merciari</cp:lastModifiedBy>
  <cp:revision>8</cp:revision>
  <dcterms:created xsi:type="dcterms:W3CDTF">2023-10-26T09:00:00Z</dcterms:created>
  <dcterms:modified xsi:type="dcterms:W3CDTF">2023-10-26T10:54:00Z</dcterms:modified>
</cp:coreProperties>
</file>