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6DEFF" w14:textId="07589C44" w:rsidR="006C0C6E" w:rsidRDefault="006C0C6E" w:rsidP="00A62B01">
      <w:pPr>
        <w:rPr>
          <w:b/>
          <w:bCs/>
        </w:rPr>
      </w:pPr>
      <w:r>
        <w:rPr>
          <w:b/>
          <w:bCs/>
        </w:rPr>
        <w:t xml:space="preserve">Titolo: </w:t>
      </w:r>
      <w:r w:rsidR="00A62B01" w:rsidRPr="004A753D">
        <w:rPr>
          <w:b/>
          <w:bCs/>
        </w:rPr>
        <w:t xml:space="preserve">LA BOZZA DI DECRETO PORTA MODIFICHE ANCHE ALLA DISCIPLINA CUP </w:t>
      </w:r>
    </w:p>
    <w:p w14:paraId="3D2EEA74" w14:textId="3248780C" w:rsidR="00A62B01" w:rsidRPr="004A753D" w:rsidRDefault="004A753D" w:rsidP="00A62B01">
      <w:pPr>
        <w:rPr>
          <w:b/>
          <w:bCs/>
        </w:rPr>
      </w:pPr>
      <w:r w:rsidRPr="004A753D">
        <w:rPr>
          <w:b/>
          <w:bCs/>
        </w:rPr>
        <w:t>PARTE PRIMA</w:t>
      </w:r>
      <w:r w:rsidR="006C0C6E">
        <w:rPr>
          <w:b/>
          <w:bCs/>
        </w:rPr>
        <w:t xml:space="preserve">: LA MODIFICA DEL COMMA 817 </w:t>
      </w:r>
    </w:p>
    <w:p w14:paraId="1298A494" w14:textId="6D6F8037" w:rsidR="00A62B01" w:rsidRDefault="00A62B01" w:rsidP="00A62B01">
      <w:r>
        <w:t xml:space="preserve">Nella bozza </w:t>
      </w:r>
      <w:r w:rsidR="00C3345A">
        <w:t xml:space="preserve">di decreto </w:t>
      </w:r>
      <w:r w:rsidR="00C3345A" w:rsidRPr="00C3345A">
        <w:t xml:space="preserve">legislativo di attuazione della </w:t>
      </w:r>
      <w:r w:rsidR="00C3345A" w:rsidRPr="00C3345A">
        <w:t>delega</w:t>
      </w:r>
      <w:r w:rsidR="00C3345A">
        <w:t xml:space="preserve"> </w:t>
      </w:r>
      <w:r w:rsidR="00C3345A" w:rsidRPr="00C3345A">
        <w:t xml:space="preserve">sulla fiscalità </w:t>
      </w:r>
      <w:r w:rsidR="004A753D" w:rsidRPr="00C3345A">
        <w:t>locale</w:t>
      </w:r>
      <w:r w:rsidR="004A753D">
        <w:t>, troviamo</w:t>
      </w:r>
      <w:r w:rsidR="00C3345A">
        <w:t xml:space="preserve"> un </w:t>
      </w:r>
      <w:r w:rsidR="004A753D">
        <w:t>articolo dedicato</w:t>
      </w:r>
      <w:r>
        <w:t xml:space="preserve"> </w:t>
      </w:r>
      <w:r w:rsidR="00C3345A">
        <w:t>alle</w:t>
      </w:r>
      <w:r>
        <w:t xml:space="preserve"> modifiche </w:t>
      </w:r>
      <w:r w:rsidR="00C3345A">
        <w:t>della</w:t>
      </w:r>
      <w:r>
        <w:t xml:space="preserve"> disciplina del canone unico patrimoniale – CUP</w:t>
      </w:r>
      <w:r>
        <w:t>.</w:t>
      </w:r>
    </w:p>
    <w:p w14:paraId="4F0C91C9" w14:textId="03293421" w:rsidR="00A62B01" w:rsidRDefault="006C329E" w:rsidP="00A62B01">
      <w:r>
        <w:t>Diciamo subito, l</w:t>
      </w:r>
      <w:r w:rsidR="00C3345A">
        <w:t>a disciplina del</w:t>
      </w:r>
      <w:r w:rsidR="00A62B01">
        <w:t xml:space="preserve"> Canone che vorremmo</w:t>
      </w:r>
      <w:r w:rsidR="00C3345A">
        <w:t xml:space="preserve"> in realtà</w:t>
      </w:r>
      <w:r w:rsidR="00A62B01">
        <w:t xml:space="preserve"> necessit</w:t>
      </w:r>
      <w:r w:rsidR="00C3345A">
        <w:t>erebbe</w:t>
      </w:r>
      <w:r w:rsidR="00A62B01">
        <w:t xml:space="preserve"> di molte modifiche</w:t>
      </w:r>
      <w:r w:rsidR="00C3345A">
        <w:t xml:space="preserve"> radicali.</w:t>
      </w:r>
    </w:p>
    <w:p w14:paraId="67D56CF3" w14:textId="30698CE3" w:rsidR="00C3345A" w:rsidRDefault="00C3345A" w:rsidP="00C3345A">
      <w:pPr>
        <w:jc w:val="both"/>
      </w:pPr>
      <w:r>
        <w:t>Servirebbe u</w:t>
      </w:r>
      <w:r>
        <w:t xml:space="preserve">na </w:t>
      </w:r>
      <w:r w:rsidR="004A753D">
        <w:t xml:space="preserve">integrale </w:t>
      </w:r>
      <w:r>
        <w:t>revisione del testo normativo</w:t>
      </w:r>
      <w:r>
        <w:t xml:space="preserve">, partendo </w:t>
      </w:r>
      <w:r>
        <w:t xml:space="preserve">dalle </w:t>
      </w:r>
      <w:r>
        <w:t>problematiche</w:t>
      </w:r>
      <w:r>
        <w:t xml:space="preserve"> riscontrate dagli stessi uffici che in questi primi tre anni di applicazione si sono scontrati con un testo di legge, a volte criptico, sicuramente incompleto, con evidenti lacune su diversi aspetti della disciplina, lasciando aperti troppi temi fondamentali, finendo per essere diversamente interpretati dagli enti territoriali chiamati nella gestione della nuova entrata patrimoniale per mezzo dello strumento regolamentare.</w:t>
      </w:r>
    </w:p>
    <w:p w14:paraId="02989891" w14:textId="01C1A702" w:rsidR="00C3345A" w:rsidRDefault="00C3345A" w:rsidP="00C3345A">
      <w:pPr>
        <w:jc w:val="both"/>
      </w:pPr>
      <w:r>
        <w:t>Queste lacune della norma di legge, si sono ripercosse inevitabilmente sulle diverse discipline locali, andando a creare una varietà applicativa senza precedenti. Enti dello stesso territorio che adottano discipline diverse, a volte con sovrapposizione di competenze, creando confusione e smarrimento nei cittadini chiamati a pagare questa nuova entrata nata proprio non sotto la migliore stella.</w:t>
      </w:r>
    </w:p>
    <w:p w14:paraId="23D3DBCB" w14:textId="05AD67AB" w:rsidR="00C3345A" w:rsidRDefault="00C3345A" w:rsidP="00C3345A">
      <w:pPr>
        <w:jc w:val="both"/>
      </w:pPr>
      <w:r>
        <w:t>Nella bozza di decreto pubblicata troviamo comunque alcune modifiche</w:t>
      </w:r>
      <w:r w:rsidR="006C329E">
        <w:t xml:space="preserve"> importanti</w:t>
      </w:r>
      <w:r>
        <w:t>, forse non le più attese,</w:t>
      </w:r>
      <w:r w:rsidR="004A753D">
        <w:t xml:space="preserve"> che andremo ad analizzare singolarmente.</w:t>
      </w:r>
    </w:p>
    <w:p w14:paraId="3F01181A" w14:textId="25834E39" w:rsidR="004A753D" w:rsidRDefault="004A753D" w:rsidP="00C3345A">
      <w:pPr>
        <w:jc w:val="both"/>
      </w:pPr>
      <w:r>
        <w:t>Con questo primo approfondimento valutiamo quanto contenuto nel comma 1 lettera A dell’articolo 26 della bozza.</w:t>
      </w:r>
    </w:p>
    <w:p w14:paraId="200C17B0" w14:textId="0B8CBDDD" w:rsidR="00A62B01" w:rsidRDefault="004A753D" w:rsidP="004A753D">
      <w:pPr>
        <w:jc w:val="both"/>
        <w:rPr>
          <w:i/>
          <w:iCs/>
        </w:rPr>
      </w:pPr>
      <w:r>
        <w:t>Nel testo si legge: “</w:t>
      </w:r>
      <w:r w:rsidRPr="004C35CE">
        <w:rPr>
          <w:i/>
          <w:iCs/>
        </w:rPr>
        <w:t>a) al comma 817, è aggiunto in fine il seguente periodo:</w:t>
      </w:r>
      <w:r w:rsidR="004C35CE">
        <w:t xml:space="preserve"> </w:t>
      </w:r>
      <w:r w:rsidR="00A62B01">
        <w:t>“</w:t>
      </w:r>
      <w:r w:rsidR="00A62B01" w:rsidRPr="004A753D">
        <w:rPr>
          <w:i/>
          <w:iCs/>
        </w:rPr>
        <w:t>Gli enti determinano le</w:t>
      </w:r>
      <w:r w:rsidRPr="004A753D">
        <w:rPr>
          <w:i/>
          <w:iCs/>
        </w:rPr>
        <w:t xml:space="preserve"> </w:t>
      </w:r>
      <w:r w:rsidR="00A62B01" w:rsidRPr="004A753D">
        <w:rPr>
          <w:i/>
          <w:iCs/>
        </w:rPr>
        <w:t>tariffe con criteri di ragionevolezza e gradualità tenendo conto della popolazione</w:t>
      </w:r>
      <w:r w:rsidRPr="004A753D">
        <w:rPr>
          <w:i/>
          <w:iCs/>
        </w:rPr>
        <w:t xml:space="preserve"> </w:t>
      </w:r>
      <w:r w:rsidR="00A62B01" w:rsidRPr="004A753D">
        <w:rPr>
          <w:i/>
          <w:iCs/>
        </w:rPr>
        <w:t>residente, della rilevanza dei flussi turistici presenti nel comune e delle</w:t>
      </w:r>
      <w:r w:rsidRPr="004A753D">
        <w:rPr>
          <w:i/>
          <w:iCs/>
        </w:rPr>
        <w:t xml:space="preserve"> </w:t>
      </w:r>
      <w:r w:rsidR="00A62B01" w:rsidRPr="004A753D">
        <w:rPr>
          <w:i/>
          <w:iCs/>
        </w:rPr>
        <w:t>caratteristiche urbanistiche delle diverse zone del territorio comunale, nonché</w:t>
      </w:r>
      <w:r w:rsidRPr="004A753D">
        <w:rPr>
          <w:i/>
          <w:iCs/>
        </w:rPr>
        <w:t xml:space="preserve"> </w:t>
      </w:r>
      <w:r w:rsidR="00A62B01" w:rsidRPr="004A753D">
        <w:rPr>
          <w:i/>
          <w:iCs/>
        </w:rPr>
        <w:t>della ritraibilità economica e dell'impatto ambientale delle occupazioni e delle</w:t>
      </w:r>
      <w:r w:rsidRPr="004A753D">
        <w:rPr>
          <w:i/>
          <w:iCs/>
        </w:rPr>
        <w:t xml:space="preserve"> </w:t>
      </w:r>
      <w:r w:rsidR="00A62B01" w:rsidRPr="004A753D">
        <w:rPr>
          <w:i/>
          <w:iCs/>
        </w:rPr>
        <w:t>esposizioni pubblicitarie oggetto del prelievo.”</w:t>
      </w:r>
    </w:p>
    <w:p w14:paraId="75218D36" w14:textId="40841644" w:rsidR="004A753D" w:rsidRDefault="004A753D" w:rsidP="004A753D">
      <w:pPr>
        <w:jc w:val="both"/>
      </w:pPr>
      <w:r>
        <w:t xml:space="preserve">Una modifica che </w:t>
      </w:r>
      <w:r w:rsidR="004C35CE">
        <w:t xml:space="preserve">chiaramente </w:t>
      </w:r>
      <w:r>
        <w:t xml:space="preserve">vuole richiamare il ruolo degli enti locali in materia di proprie entrate. </w:t>
      </w:r>
      <w:r w:rsidR="00063280">
        <w:t xml:space="preserve">Un ruolo di autonomia e potestà regolamentare e tariffaria, condizionato al rispetto dei principi generali sempre validi in materia fiscale e alle giuste motivazioni che devono sempre accompagnare delle manovre tariffarie. L’esperienza di questi primi anni ce lo insegna. Molte sentenze di Tribunali Amministrativi Regionali hanno evidenziato, nel bene o nel male, il comportamento di Pubbliche Amministrazioni, che hanno fatto valere la possibilità data di variare  </w:t>
      </w:r>
      <w:r w:rsidR="00063280" w:rsidRPr="00063280">
        <w:t xml:space="preserve">il gettito </w:t>
      </w:r>
      <w:r w:rsidR="00063280">
        <w:t xml:space="preserve">atteso </w:t>
      </w:r>
      <w:r w:rsidR="00063280" w:rsidRPr="00063280">
        <w:t xml:space="preserve">attraverso la modifica delle </w:t>
      </w:r>
      <w:r w:rsidR="00063280">
        <w:t xml:space="preserve">proprie </w:t>
      </w:r>
      <w:r w:rsidR="00063280" w:rsidRPr="00063280">
        <w:t>tariffe</w:t>
      </w:r>
      <w:r w:rsidR="00063280">
        <w:t>.</w:t>
      </w:r>
    </w:p>
    <w:p w14:paraId="109779EF" w14:textId="2B82DC29" w:rsidR="004A753D" w:rsidRDefault="004A753D" w:rsidP="004A753D">
      <w:pPr>
        <w:jc w:val="both"/>
      </w:pPr>
      <w:r>
        <w:t xml:space="preserve">Il comma </w:t>
      </w:r>
      <w:r w:rsidR="004C35CE">
        <w:t xml:space="preserve">817 è quello </w:t>
      </w:r>
      <w:r>
        <w:t>con il quale il legislatore ha voluto legare la nuova entrata ai precedenti prelievi. Un vincolo imposto agli enti locali nell’andare a istituire e disciplinare la propria entrata in continuità con il passato. Un monito a non stravolgere gli impianti tariffari e i gettiti attesi dalle entrate sostituite.</w:t>
      </w:r>
    </w:p>
    <w:p w14:paraId="1E2D8A3C" w14:textId="34651807" w:rsidR="004A753D" w:rsidRDefault="004A753D" w:rsidP="004A753D">
      <w:pPr>
        <w:jc w:val="both"/>
      </w:pPr>
      <w:r>
        <w:t xml:space="preserve">Con il comma 817 si </w:t>
      </w:r>
      <w:r w:rsidR="004C35CE">
        <w:t>era</w:t>
      </w:r>
      <w:r>
        <w:t xml:space="preserve"> disposto </w:t>
      </w:r>
      <w:r w:rsidR="004C35CE">
        <w:t xml:space="preserve">infatti </w:t>
      </w:r>
      <w:r>
        <w:t xml:space="preserve">che: </w:t>
      </w:r>
      <w:r>
        <w:rPr>
          <w:i/>
        </w:rPr>
        <w:t>“Il canone è disciplinato dagli enti in modo da assicurare un gettito pari a quello conseguito dai canoni e dai tributi che sono sostituiti dal canone, fatta salva, in ogni caso, la possibilità di variare il gettito attraverso la modifica delle tariffe.”</w:t>
      </w:r>
      <w:r>
        <w:t xml:space="preserve"> </w:t>
      </w:r>
    </w:p>
    <w:p w14:paraId="46D1CDCB" w14:textId="77777777" w:rsidR="00C6207D" w:rsidRDefault="004A753D" w:rsidP="004A753D">
      <w:pPr>
        <w:jc w:val="both"/>
      </w:pPr>
      <w:r>
        <w:t>In</w:t>
      </w:r>
      <w:r w:rsidR="00063280">
        <w:t xml:space="preserve"> relazione a </w:t>
      </w:r>
      <w:r>
        <w:t xml:space="preserve">questo comma possiamo </w:t>
      </w:r>
      <w:r w:rsidR="004C35CE">
        <w:t xml:space="preserve">oggi </w:t>
      </w:r>
      <w:r>
        <w:t>concentrare l’attenzione sulla disposizione finale, ovvero sulla possibilità riconosciuta agli enti di variare il gettito attraverso la modifica delle tariffe.</w:t>
      </w:r>
      <w:r w:rsidR="00063280">
        <w:t xml:space="preserve"> Perché la modifica proposta va proprio a completare il significato di quanto voluto dal Legislatore. </w:t>
      </w:r>
    </w:p>
    <w:p w14:paraId="541CF36A" w14:textId="7FFDBE17" w:rsidR="004A753D" w:rsidRDefault="00063280" w:rsidP="004A753D">
      <w:pPr>
        <w:jc w:val="both"/>
      </w:pPr>
      <w:r>
        <w:t>Oggettivamente fino ad oggi, s</w:t>
      </w:r>
      <w:r w:rsidR="004A753D">
        <w:t>ul significato e sulla portata d</w:t>
      </w:r>
      <w:r w:rsidR="00C6207D">
        <w:t xml:space="preserve">ella </w:t>
      </w:r>
      <w:r w:rsidR="004A753D">
        <w:t>frase</w:t>
      </w:r>
      <w:r w:rsidR="00C6207D">
        <w:t xml:space="preserve"> “…</w:t>
      </w:r>
      <w:r w:rsidR="00C6207D">
        <w:rPr>
          <w:i/>
        </w:rPr>
        <w:t>fatta salva, in ogni caso, la possibilità di variare il gettito attraverso la modifica delle tariffe”</w:t>
      </w:r>
      <w:r w:rsidR="00C6207D">
        <w:t xml:space="preserve"> </w:t>
      </w:r>
      <w:r w:rsidR="004A753D">
        <w:t xml:space="preserve"> si è letto di tutto. Recentemente il TAR Lombardia ha richiamato questa disposizione per legittimare l’operato dei comuni che hanno variato le tariffe base disposte dal Legislatore per consentire l’obiettivo dell’invarianza di gettito prevista nella prima parte del comma. </w:t>
      </w:r>
    </w:p>
    <w:p w14:paraId="75B31E9E" w14:textId="1D3D9811" w:rsidR="004A753D" w:rsidRDefault="004A753D" w:rsidP="004A753D">
      <w:pPr>
        <w:jc w:val="both"/>
      </w:pPr>
      <w:r>
        <w:lastRenderedPageBreak/>
        <w:t xml:space="preserve">Questa </w:t>
      </w:r>
      <w:r w:rsidR="004C35CE">
        <w:t xml:space="preserve">originaria </w:t>
      </w:r>
      <w:r>
        <w:t>formulazione del comma, che a prima vista sembra</w:t>
      </w:r>
      <w:r w:rsidR="004C35CE">
        <w:t>va</w:t>
      </w:r>
      <w:r>
        <w:t xml:space="preserve"> una contraddizione espressa all'interno della stessa frase, in realtà </w:t>
      </w:r>
      <w:r w:rsidR="00C6207D">
        <w:t>doveva essere</w:t>
      </w:r>
      <w:r>
        <w:t xml:space="preserve"> letta </w:t>
      </w:r>
      <w:r w:rsidR="004C35CE">
        <w:t xml:space="preserve">fin da principio </w:t>
      </w:r>
      <w:r>
        <w:t>come la volontà di definire una disciplina che da una parte fosse coerente con i precedenti prelievi, e che dall'altra garantisse ai soggetti attivi della nuova entrata patrimoniale, quell</w:t>
      </w:r>
      <w:r w:rsidR="004C35CE">
        <w:t>’a</w:t>
      </w:r>
      <w:r>
        <w:t xml:space="preserve">utonomia e potestà regolamentare in materia di proprie entrate, riconosciuta dall'articolo 52 del Dlgs 446/1997. </w:t>
      </w:r>
    </w:p>
    <w:p w14:paraId="73AA8FED" w14:textId="5B500AF0" w:rsidR="004A753D" w:rsidRDefault="004A753D" w:rsidP="004A753D">
      <w:pPr>
        <w:jc w:val="both"/>
      </w:pPr>
      <w:r>
        <w:t>L'obiettivo dichiarato del Legislatore era quello di riunificare le entrate senza stravolgerle, lasciando comunque quell'autonomia agli enti territoriali nel regolarla in base alle proprie caratteristiche e alla propria storia.</w:t>
      </w:r>
      <w:r w:rsidR="00C6207D">
        <w:t xml:space="preserve"> Obiettivo che sembra trovare conferma nella modifica proposta.</w:t>
      </w:r>
    </w:p>
    <w:p w14:paraId="7160731A" w14:textId="7A651E6F" w:rsidR="004A753D" w:rsidRDefault="004A753D" w:rsidP="004A753D">
      <w:pPr>
        <w:jc w:val="both"/>
        <w:rPr>
          <w:i/>
        </w:rPr>
      </w:pPr>
      <w:r>
        <w:t xml:space="preserve">In questa direzione </w:t>
      </w:r>
      <w:r w:rsidR="00C6207D">
        <w:t>erano già</w:t>
      </w:r>
      <w:r>
        <w:t xml:space="preserve"> andati i Giudici del TAR </w:t>
      </w:r>
      <w:r w:rsidR="00C6207D">
        <w:t>Lombardia</w:t>
      </w:r>
      <w:r>
        <w:t>. Nell</w:t>
      </w:r>
      <w:r w:rsidR="004C35CE">
        <w:t>e</w:t>
      </w:r>
      <w:r>
        <w:t xml:space="preserve"> sentenz</w:t>
      </w:r>
      <w:r w:rsidR="004C35CE">
        <w:t>e 1848 e 1850 pubblicate il 07/07/2023,</w:t>
      </w:r>
      <w:r>
        <w:t xml:space="preserve"> si legge: “</w:t>
      </w:r>
      <w:r>
        <w:rPr>
          <w:i/>
        </w:rPr>
        <w:t>Dalla lettura della norma emerge che la disposizione impone agli enti locali il vincolo di disciplinare il canone in modo da assicurare un gettito pari a quello conseguito dai tributi che lo stesso sostituisce (c.d. invarianza del gettito in aumento), ma nel contempo riconosce agli stessi enti locali la possibilità, per raggiungere detto obiettivo, di variare il gettito modificando le tariffe base stabilite dal legislatore nei commi 826 ("tariffa standard annua") e 827 ("tariffa standard giornaliera"), in tal modo attribuendo all’Amministrazione locale un potere discrezionale di modulare il canone in funzione delle specificità della singola realtà territoriale, in applicazione del principio di autonomia finanziaria di entrata di cui all'art. 119 Cost. (TAR Lazio, Roma, II, 4 aprile 2022, n. 3855).”</w:t>
      </w:r>
    </w:p>
    <w:p w14:paraId="1C2C9DF7" w14:textId="77777777" w:rsidR="004A753D" w:rsidRDefault="004A753D" w:rsidP="004A753D">
      <w:pPr>
        <w:jc w:val="both"/>
      </w:pPr>
      <w:r>
        <w:t>I Giudici richiamano una precedente sentenza del TAR Lazio che si esprimeva proprio su questi principi. In questo senso, per i giudici milanesi, l’invarianza prevista dal riportato comma 817 non va riferita ai singoli utenti, né a ciascun impianto pubblicitario o alle diverse fattispecie di occupazione del suolo pubblico, il cui eventuale incremento degli importi dovuti a seguito dell’introduzione del CU non ha autonomo rilievo rispetto alla valutazione dell’osservanza del vincolo recato dal succitato comma 817. Ciò che occorre considerare è invece il prelievo complessivo conseguito dall’Ente, che mediante il CU non può riscuotere, complessivamente, più di quanto incamerato con i tributi e contributi dismessi. Valutazione che si ritiene corretta in sede di prima applicazione del Canone per l’anno 2021, ma che può essere certamente by passata per le annualità successive, con scelte delle amministrazioni locali debitamente motivate.</w:t>
      </w:r>
    </w:p>
    <w:p w14:paraId="76B4C765" w14:textId="45D6865A" w:rsidR="004A753D" w:rsidRDefault="004A753D" w:rsidP="004A753D">
      <w:pPr>
        <w:jc w:val="both"/>
      </w:pPr>
      <w:r>
        <w:t>Infatti una diversa lettura del comma, potrebbe portare a valutare come gli enti, nell’ambito dell’autonomia riconosciuta in materia di proprie entrate, possono legittimamente prevedere, anche nel primo anno di applicazione del canone, una modifica delle tariffe. Modifica che del resto avrebbe assunto anche nel caso di una continuità con i prelievi precedenti. M</w:t>
      </w:r>
      <w:r w:rsidR="00C6207D">
        <w:t>utamenti</w:t>
      </w:r>
      <w:r>
        <w:t xml:space="preserve"> che potevano anche comportare una variazione del gettito, se ben motivata e correttamente supportata dal Bilancio dell’ente stesso.  Il Legislatore scrive infatti </w:t>
      </w:r>
      <w:r w:rsidRPr="004C35CE">
        <w:rPr>
          <w:i/>
          <w:iCs/>
        </w:rPr>
        <w:t>“fatta salva, in ogni caso”</w:t>
      </w:r>
      <w:r>
        <w:t xml:space="preserve"> come dire, è richiesta l’invarianza di gettito, tuttavia viene rispettata la possibilità per gli enti, di variare il gettito dell’entrata stessa. </w:t>
      </w:r>
    </w:p>
    <w:p w14:paraId="675EAC98" w14:textId="09F6A771" w:rsidR="004C35CE" w:rsidRDefault="004C35CE" w:rsidP="004A753D">
      <w:pPr>
        <w:jc w:val="both"/>
      </w:pPr>
      <w:r>
        <w:t xml:space="preserve">La modifica proposta </w:t>
      </w:r>
      <w:r w:rsidR="00C6207D">
        <w:t xml:space="preserve">nella lettera A del comma 1 della bozza di decreto, </w:t>
      </w:r>
      <w:r>
        <w:t>sembra andare in questa direzione</w:t>
      </w:r>
      <w:r w:rsidR="00621C14">
        <w:t xml:space="preserve">, riconoscendo l’autonomia degli enti locali in materia di proprie entrate, vincolandoli a valutazioni oggettive e sottoponendoli al rispetto dei principi generali </w:t>
      </w:r>
      <w:r w:rsidR="006C0C6E" w:rsidRPr="006C0C6E">
        <w:t xml:space="preserve">di ragionevolezza e gradualità </w:t>
      </w:r>
      <w:r w:rsidR="00621C14">
        <w:t xml:space="preserve">validi in materia fiscale. </w:t>
      </w:r>
    </w:p>
    <w:p w14:paraId="1B843DE4" w14:textId="77777777" w:rsidR="006C0C6E" w:rsidRDefault="00621C14" w:rsidP="006C0C6E">
      <w:pPr>
        <w:jc w:val="both"/>
      </w:pPr>
      <w:r>
        <w:t xml:space="preserve">Con questa lettura, non si può non </w:t>
      </w:r>
      <w:r w:rsidR="006C0C6E">
        <w:t>tornare su</w:t>
      </w:r>
      <w:r>
        <w:t xml:space="preserve"> una recent</w:t>
      </w:r>
      <w:r w:rsidR="006C0C6E">
        <w:t>issima</w:t>
      </w:r>
      <w:r>
        <w:t xml:space="preserve"> sentenza del TAR Campania che abbiamo commentato, circa i criteri adottati da un comune turistico. </w:t>
      </w:r>
      <w:r w:rsidR="006C0C6E">
        <w:t xml:space="preserve">Sotto la lente d’ingrandimento dei giudici </w:t>
      </w:r>
      <w:r w:rsidR="006C0C6E">
        <w:t>in quel caso finì</w:t>
      </w:r>
      <w:r w:rsidR="006C0C6E">
        <w:t xml:space="preserve"> una deliberazione del Comune con la quale si</w:t>
      </w:r>
      <w:r w:rsidR="006C0C6E">
        <w:t xml:space="preserve"> </w:t>
      </w:r>
      <w:r w:rsidR="006C0C6E">
        <w:t>dava forma e sostanza alla zonizzazione del territorio, adottando una zona centralissima</w:t>
      </w:r>
      <w:r w:rsidR="006C0C6E">
        <w:t xml:space="preserve"> </w:t>
      </w:r>
      <w:r w:rsidR="006C0C6E">
        <w:t>definita “zona zero” caratterizzata da valori di locazione degli immobili commerciali superiore al</w:t>
      </w:r>
      <w:r w:rsidR="006C0C6E">
        <w:t xml:space="preserve"> </w:t>
      </w:r>
      <w:r w:rsidR="006C0C6E">
        <w:t>doppio rispetto al resto del territorio. La scelta della Amministrazione comunale è stata proprio</w:t>
      </w:r>
      <w:r w:rsidR="006C0C6E">
        <w:t xml:space="preserve"> </w:t>
      </w:r>
      <w:r w:rsidR="006C0C6E">
        <w:t>quella di operare una nuova e più razionale proporzione tra il valore degli immobili ad uso</w:t>
      </w:r>
      <w:r w:rsidR="006C0C6E">
        <w:t xml:space="preserve"> </w:t>
      </w:r>
      <w:r w:rsidR="006C0C6E">
        <w:t>commerciale presenti nelle varie zone del territorio comunale, e la relativa tariffa per l’occupazione</w:t>
      </w:r>
      <w:r w:rsidR="006C0C6E">
        <w:t xml:space="preserve"> </w:t>
      </w:r>
      <w:r w:rsidR="006C0C6E">
        <w:t>del suolo pubblico.</w:t>
      </w:r>
      <w:r w:rsidR="006C0C6E">
        <w:t xml:space="preserve"> </w:t>
      </w:r>
    </w:p>
    <w:p w14:paraId="3129977F" w14:textId="7B8DBA48" w:rsidR="006C0C6E" w:rsidRDefault="006C0C6E" w:rsidP="006C0C6E">
      <w:pPr>
        <w:jc w:val="both"/>
      </w:pPr>
      <w:r>
        <w:t>Esattamente il principio che si vorrebbe introdurre con la modifica del comma 817.</w:t>
      </w:r>
    </w:p>
    <w:p w14:paraId="1239C1B7" w14:textId="568252EC" w:rsidR="00060149" w:rsidRDefault="00060149" w:rsidP="00A62B01"/>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35"/>
    <w:rsid w:val="00060149"/>
    <w:rsid w:val="00063280"/>
    <w:rsid w:val="004A753D"/>
    <w:rsid w:val="004C35CE"/>
    <w:rsid w:val="00621C14"/>
    <w:rsid w:val="006C0C6E"/>
    <w:rsid w:val="006C329E"/>
    <w:rsid w:val="00A62B01"/>
    <w:rsid w:val="00C3345A"/>
    <w:rsid w:val="00C6207D"/>
    <w:rsid w:val="00C862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84A5"/>
  <w15:chartTrackingRefBased/>
  <w15:docId w15:val="{F44C774C-F2C5-4272-9DED-0331FA61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1285</Words>
  <Characters>7330</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2023-10-02T10:02:00Z</dcterms:created>
  <dcterms:modified xsi:type="dcterms:W3CDTF">2023-10-02T11:13:00Z</dcterms:modified>
</cp:coreProperties>
</file>