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65BEE" w14:textId="5E925771" w:rsidR="00060149" w:rsidRPr="0094126D" w:rsidRDefault="005E43B0">
      <w:pPr>
        <w:rPr>
          <w:b/>
          <w:bCs/>
        </w:rPr>
      </w:pPr>
      <w:r w:rsidRPr="0094126D">
        <w:rPr>
          <w:b/>
          <w:bCs/>
        </w:rPr>
        <w:t>TITOLO: La qualifica di Pubblico ufficiale</w:t>
      </w:r>
      <w:r w:rsidR="0094126D" w:rsidRPr="0094126D">
        <w:rPr>
          <w:b/>
          <w:bCs/>
        </w:rPr>
        <w:t xml:space="preserve"> attribuita a</w:t>
      </w:r>
      <w:r w:rsidRPr="0094126D">
        <w:rPr>
          <w:b/>
          <w:bCs/>
        </w:rPr>
        <w:t xml:space="preserve">ll’accertatore delle entrate </w:t>
      </w:r>
    </w:p>
    <w:p w14:paraId="1758B668" w14:textId="77777777" w:rsidR="0094126D" w:rsidRDefault="0094126D" w:rsidP="0094126D"/>
    <w:p w14:paraId="0F417E2E" w14:textId="0ACE61DD" w:rsidR="0094126D" w:rsidRDefault="0094126D" w:rsidP="0094126D">
      <w:pPr>
        <w:jc w:val="both"/>
      </w:pPr>
      <w:r>
        <w:t xml:space="preserve">La figura dell’accertatore delle entrate ex comma 179 Legge 296/2006 è tornata </w:t>
      </w:r>
      <w:r w:rsidR="00757C7D">
        <w:t xml:space="preserve">di grande </w:t>
      </w:r>
      <w:r>
        <w:t>attualità con</w:t>
      </w:r>
      <w:r w:rsidR="00757C7D">
        <w:t xml:space="preserve"> l’introduzione </w:t>
      </w:r>
      <w:r>
        <w:t>del Canone Unico Patrimoniale. La legge 160/2019</w:t>
      </w:r>
      <w:r w:rsidR="00757C7D">
        <w:t>,</w:t>
      </w:r>
      <w:r>
        <w:t xml:space="preserve"> </w:t>
      </w:r>
      <w:r w:rsidR="00757C7D">
        <w:t xml:space="preserve">che regola la disciplina del CUP, </w:t>
      </w:r>
      <w:r>
        <w:t>prevede espressamente la verbalizzazione da parte di un pubblico ufficiale per attivare le procedure a carico delle occupazioni ed esposizioni pubblicitarie abusive.</w:t>
      </w:r>
    </w:p>
    <w:p w14:paraId="2D33543C" w14:textId="52BC6094" w:rsidR="0094126D" w:rsidRDefault="0094126D" w:rsidP="00E31ECC">
      <w:pPr>
        <w:jc w:val="both"/>
      </w:pPr>
      <w:r>
        <w:t xml:space="preserve">Con un precedente approfondimento </w:t>
      </w:r>
      <w:r w:rsidR="00757C7D">
        <w:t>avevamo</w:t>
      </w:r>
      <w:r>
        <w:t xml:space="preserve"> visto quali sono le due figure di pubblico ufficiale che partecipano alla vita delle entrate degli Enti locali, con funzioni di vigilanza e controllo del territorio. Ovviamente l’agente di Polizia Locale e l’Accertare delle Entrate istituito con la Legge Finanziaria del 2007.</w:t>
      </w:r>
    </w:p>
    <w:p w14:paraId="2F1F7B59" w14:textId="49D45370" w:rsidR="0094126D" w:rsidRDefault="00E31ECC" w:rsidP="00E31ECC">
      <w:pPr>
        <w:jc w:val="both"/>
      </w:pPr>
      <w:r>
        <w:t xml:space="preserve">Una figura qualificata, con specifiche competenze in materia di entrate, che va ad integrare l’attività svolta dall’agente di Polizia </w:t>
      </w:r>
      <w:r w:rsidR="00757C7D">
        <w:t>Municipale</w:t>
      </w:r>
      <w:r>
        <w:t xml:space="preserve">, tipicamente impegnato </w:t>
      </w:r>
      <w:r w:rsidR="00757C7D">
        <w:t>in materia di</w:t>
      </w:r>
      <w:r>
        <w:t xml:space="preserve"> violazioni al Codice della Strada. Nell’istituire questa nuova figura, viene conferita al personale dell’ente individuato, la capacità di redigere e sottoscrivere verbali di accertamento per le violazioni che vengono commesse nell’ambito del territorio di competenza dell’ente locale. Lo specifico richiamo alle disposizioni dell'articolo 68, comma 1, della legge 23 dicembre 1999, n. 488, consente di valutare l’operato dell’accertatore proprio con le caratteristiche tipiche del pubblico ufficiale che adotta atti conformi al disposto dell’articolo 2699 del Codice Civile</w:t>
      </w:r>
      <w:r w:rsidR="00757C7D">
        <w:t xml:space="preserve">. Articolo nel quale </w:t>
      </w:r>
      <w:r>
        <w:t xml:space="preserve">si stabilisce </w:t>
      </w:r>
      <w:r w:rsidR="00757C7D">
        <w:t>che</w:t>
      </w:r>
      <w:r>
        <w:t xml:space="preserve"> l'atto pubblico è il documento redatto, con le richieste formalità, da un notaio o da altro pubblico ufficiale autorizzato ad attribuirgli pubblica fede nel luogo dove l'atto è formato. Il successivo articolo 2700, prevede poi che l'atto pubblico faccia piena prova, fino a querela di falso, della provenienza del documento dal pubblico ufficiale che lo ha formato, nonché delle dichiarazioni delle parti e degli altri fatti che il pubblico ufficiale attesta avvenuti in sua presenza o da lui compiuti.</w:t>
      </w:r>
    </w:p>
    <w:p w14:paraId="0669DBB2" w14:textId="64F6F90F" w:rsidR="003570D0" w:rsidRDefault="00E31ECC" w:rsidP="003570D0">
      <w:pPr>
        <w:jc w:val="both"/>
      </w:pPr>
      <w:r>
        <w:t xml:space="preserve">Oggi tuttavia l’articolo </w:t>
      </w:r>
      <w:r w:rsidR="00F20D7B" w:rsidRPr="00F20D7B">
        <w:t>68</w:t>
      </w:r>
      <w:r>
        <w:t xml:space="preserve"> della legge 23 dicembre 1999, n. 488</w:t>
      </w:r>
      <w:r w:rsidR="00F20D7B" w:rsidRPr="00F20D7B">
        <w:t xml:space="preserve"> è stato abrogato</w:t>
      </w:r>
      <w:r>
        <w:t xml:space="preserve"> e così molti si sono interrogati sul destino d</w:t>
      </w:r>
      <w:r w:rsidR="00757C7D">
        <w:t xml:space="preserve">ella </w:t>
      </w:r>
      <w:r>
        <w:t>figura in dote all’Ufficio Entrate dei Comuni</w:t>
      </w:r>
      <w:r w:rsidR="003570D0">
        <w:t xml:space="preserve">. La questione è: l’attività svolta </w:t>
      </w:r>
      <w:r w:rsidR="008160B4">
        <w:t xml:space="preserve">dall’accertatore </w:t>
      </w:r>
      <w:r w:rsidR="003570D0">
        <w:t>con la redazione di un verbale di accertamento, venendo a mancare questo richiamo normativo, può ancora considerarsi come atto pubblico redatto da pubblico ufficiale?</w:t>
      </w:r>
    </w:p>
    <w:p w14:paraId="16C75479" w14:textId="15E0B4BF" w:rsidR="008160B4" w:rsidRDefault="008160B4" w:rsidP="008160B4">
      <w:pPr>
        <w:jc w:val="both"/>
        <w:rPr>
          <w:i/>
          <w:iCs/>
        </w:rPr>
      </w:pPr>
      <w:r>
        <w:t>Il comma 179, articolo 1 Legge 296/2006 si chiudeva con la seguente disposizione: “</w:t>
      </w:r>
      <w:r w:rsidRPr="008160B4">
        <w:rPr>
          <w:i/>
          <w:iCs/>
        </w:rPr>
        <w:t>Si applicano le disposizioni dell'articolo 68, comma 1, della legge 23 dicembre 1999, n.488, relative all'efficacia del verbale di accertamento”.</w:t>
      </w:r>
    </w:p>
    <w:p w14:paraId="7D34A558" w14:textId="6610CAC0" w:rsidR="008160B4" w:rsidRDefault="008160B4" w:rsidP="008160B4">
      <w:pPr>
        <w:jc w:val="both"/>
        <w:rPr>
          <w:i/>
          <w:iCs/>
        </w:rPr>
      </w:pPr>
      <w:r>
        <w:t xml:space="preserve">L’articolo 68 comma 1 della Legge 488/1999 prevedeva: </w:t>
      </w:r>
      <w:r w:rsidRPr="008160B4">
        <w:rPr>
          <w:i/>
          <w:iCs/>
        </w:rPr>
        <w:t>““ I   commi 132 e 133 dell'articolo 17 della legge 15 maggio 1997, n. 127, si  interpretano nel   senso   che il conferimento delle funzioni di prevenzione e  accertamento delle  violazioni, ivi previste, comprende, ai sensi del comma 1,  lettera e), dell'articolo 12 del decreto legislativo 30 aprile 1992, n. 285, e  successive modificazioni,   i   poteri   di contestazione immediata nonché' di  redazione e  sottoscrizione del verbale di accertamento con l'efficacia di cui  agli articoli 2699 e 2700 del codice civile.”</w:t>
      </w:r>
    </w:p>
    <w:p w14:paraId="4B4B4419" w14:textId="7C0B8C77" w:rsidR="005E43B0" w:rsidRDefault="008160B4" w:rsidP="007E09B3">
      <w:pPr>
        <w:jc w:val="both"/>
      </w:pPr>
      <w:r>
        <w:t xml:space="preserve">Ecco quindi il percorso normativo che </w:t>
      </w:r>
      <w:r w:rsidR="00757C7D">
        <w:t>aveva</w:t>
      </w:r>
      <w:r w:rsidR="007E09B3">
        <w:t xml:space="preserve"> </w:t>
      </w:r>
      <w:r>
        <w:t>porta</w:t>
      </w:r>
      <w:r w:rsidR="007E09B3">
        <w:t>to</w:t>
      </w:r>
      <w:r>
        <w:t xml:space="preserve"> a conferire alla figura dell’accertatore la qualifica di pubblico ufficiale </w:t>
      </w:r>
      <w:r w:rsidR="007E09B3">
        <w:t xml:space="preserve">(articolo 2700 CC) </w:t>
      </w:r>
      <w:r>
        <w:t>e al suo verbale il valore di atto pubblico</w:t>
      </w:r>
      <w:r w:rsidR="007E09B3">
        <w:t xml:space="preserve"> (articolo 2699 CC)</w:t>
      </w:r>
      <w:r>
        <w:t xml:space="preserve">. </w:t>
      </w:r>
    </w:p>
    <w:p w14:paraId="08A21CF3" w14:textId="59C9D2AB" w:rsidR="00DC1AD7" w:rsidRDefault="007E09B3" w:rsidP="00166924">
      <w:pPr>
        <w:jc w:val="both"/>
        <w:rPr>
          <w:i/>
          <w:iCs/>
        </w:rPr>
      </w:pPr>
      <w:r>
        <w:t xml:space="preserve">Questa </w:t>
      </w:r>
      <w:r w:rsidR="00F11796">
        <w:t>ri</w:t>
      </w:r>
      <w:r>
        <w:t xml:space="preserve">costruzione normativa </w:t>
      </w:r>
      <w:r w:rsidR="00F11796">
        <w:t xml:space="preserve">è stata </w:t>
      </w:r>
      <w:r w:rsidR="00757C7D">
        <w:t xml:space="preserve">tuttavia </w:t>
      </w:r>
      <w:r w:rsidR="00F11796">
        <w:t xml:space="preserve">interrotta dalla disposizione contenuta nell’articolo 49 del </w:t>
      </w:r>
      <w:r w:rsidR="00DC1AD7">
        <w:t>D</w:t>
      </w:r>
      <w:r w:rsidR="00757C7D">
        <w:t>.</w:t>
      </w:r>
      <w:r w:rsidR="00DC1AD7">
        <w:t>L</w:t>
      </w:r>
      <w:r w:rsidR="00757C7D">
        <w:t>.</w:t>
      </w:r>
      <w:r w:rsidR="00DC1AD7">
        <w:t xml:space="preserve"> </w:t>
      </w:r>
      <w:r w:rsidR="00F20D7B" w:rsidRPr="00F20D7B">
        <w:t xml:space="preserve"> 76/2020</w:t>
      </w:r>
      <w:r w:rsidR="00F11796">
        <w:t xml:space="preserve">, dove al </w:t>
      </w:r>
      <w:r w:rsidR="00DC1AD7">
        <w:t>comma 5-terdecies</w:t>
      </w:r>
      <w:r w:rsidR="00F11796">
        <w:t xml:space="preserve"> viene stabilito che:</w:t>
      </w:r>
      <w:r w:rsidR="00DC1AD7">
        <w:t xml:space="preserve"> </w:t>
      </w:r>
      <w:r w:rsidR="00DC1AD7" w:rsidRPr="00DC1AD7">
        <w:rPr>
          <w:i/>
          <w:iCs/>
        </w:rPr>
        <w:t>“L'articolo 68 della legge 23 dicembre 1999, n. 488, e' abrogato”.</w:t>
      </w:r>
    </w:p>
    <w:p w14:paraId="604067A8" w14:textId="0F97CACF" w:rsidR="00F11796" w:rsidRPr="00F11796" w:rsidRDefault="00F11796" w:rsidP="00166924">
      <w:pPr>
        <w:jc w:val="both"/>
      </w:pPr>
      <w:r>
        <w:t>L</w:t>
      </w:r>
      <w:r w:rsidR="00757C7D">
        <w:t>a novità normativa, andrà</w:t>
      </w:r>
      <w:r>
        <w:t xml:space="preserve"> </w:t>
      </w:r>
      <w:r w:rsidR="00757C7D">
        <w:t>comunque letta</w:t>
      </w:r>
      <w:r>
        <w:t xml:space="preserve"> in modo coordinato con quanto stabilito nel precedente comma 5-ter con il quale il Legislatore ha inserito nel Codice della Strada l’articolo 12</w:t>
      </w:r>
      <w:r w:rsidR="00757C7D">
        <w:t>-</w:t>
      </w:r>
      <w:r>
        <w:t>bis che regola la “</w:t>
      </w:r>
      <w:r w:rsidRPr="00F11796">
        <w:rPr>
          <w:i/>
          <w:iCs/>
        </w:rPr>
        <w:t>Prevenzione ed accertamento delle violazioni in materia di  sosta e fermata</w:t>
      </w:r>
      <w:r>
        <w:t>”. Nell’articolo</w:t>
      </w:r>
      <w:r w:rsidR="003F7F23">
        <w:t xml:space="preserve">, tra le varie </w:t>
      </w:r>
      <w:r w:rsidR="00757C7D">
        <w:t>cose, viene</w:t>
      </w:r>
      <w:r>
        <w:t xml:space="preserve"> previsto </w:t>
      </w:r>
      <w:r w:rsidR="003F7F23">
        <w:lastRenderedPageBreak/>
        <w:t xml:space="preserve">al comma 4 </w:t>
      </w:r>
      <w:r>
        <w:t>che: “</w:t>
      </w:r>
      <w:r w:rsidR="003F7F23">
        <w:t>…</w:t>
      </w:r>
      <w:r w:rsidRPr="00F11796">
        <w:rPr>
          <w:i/>
          <w:iCs/>
        </w:rPr>
        <w:t xml:space="preserve">Al personale individuato </w:t>
      </w:r>
      <w:r w:rsidR="00757C7D" w:rsidRPr="00F11796">
        <w:rPr>
          <w:i/>
          <w:iCs/>
        </w:rPr>
        <w:t>viene conferito il</w:t>
      </w:r>
      <w:r w:rsidRPr="00F11796">
        <w:rPr>
          <w:i/>
          <w:iCs/>
        </w:rPr>
        <w:t xml:space="preserve"> potere di contestazione nonché </w:t>
      </w:r>
      <w:r w:rsidR="00757C7D" w:rsidRPr="00F11796">
        <w:rPr>
          <w:i/>
          <w:iCs/>
        </w:rPr>
        <w:t>di redazione e sottoscrizione del</w:t>
      </w:r>
      <w:r w:rsidRPr="00F11796">
        <w:rPr>
          <w:i/>
          <w:iCs/>
        </w:rPr>
        <w:t xml:space="preserve"> verbale di accertamento delle violazioni </w:t>
      </w:r>
      <w:r w:rsidR="00757C7D" w:rsidRPr="00F11796">
        <w:rPr>
          <w:i/>
          <w:iCs/>
        </w:rPr>
        <w:t>di propria competenza</w:t>
      </w:r>
      <w:r w:rsidRPr="00F11796">
        <w:rPr>
          <w:i/>
          <w:iCs/>
        </w:rPr>
        <w:t>.</w:t>
      </w:r>
      <w:r w:rsidR="003F7F23">
        <w:rPr>
          <w:i/>
          <w:iCs/>
        </w:rPr>
        <w:t>”</w:t>
      </w:r>
    </w:p>
    <w:p w14:paraId="64DE78FD" w14:textId="0CECDF45" w:rsidR="00DC1AD7" w:rsidRDefault="00F11796" w:rsidP="00166924">
      <w:pPr>
        <w:jc w:val="both"/>
      </w:pPr>
      <w:r>
        <w:t>Ecco quindi che l</w:t>
      </w:r>
      <w:r w:rsidR="00DC1AD7" w:rsidRPr="00DC1AD7">
        <w:t>a disciplina</w:t>
      </w:r>
      <w:r w:rsidR="00DC1AD7">
        <w:t xml:space="preserve"> che regola l’attività degli “ausiliari” </w:t>
      </w:r>
      <w:r w:rsidR="003F7F23">
        <w:t xml:space="preserve">è stata, con l’introduzione dell’articolo 12 bis del CdS, </w:t>
      </w:r>
      <w:r w:rsidR="00DC1AD7">
        <w:t>ampli</w:t>
      </w:r>
      <w:r w:rsidR="003F7F23">
        <w:t>ata rispetto</w:t>
      </w:r>
      <w:r w:rsidR="00DC1AD7">
        <w:t xml:space="preserve"> </w:t>
      </w:r>
      <w:r w:rsidR="003F7F23">
        <w:t>a</w:t>
      </w:r>
      <w:r w:rsidR="00DC1AD7">
        <w:t xml:space="preserve">i poteri già </w:t>
      </w:r>
      <w:r w:rsidR="003F7F23">
        <w:t>riconosciuti</w:t>
      </w:r>
      <w:r w:rsidR="00DC1AD7">
        <w:t xml:space="preserve"> all’articolo 68 della Legge 488/1999.</w:t>
      </w:r>
    </w:p>
    <w:p w14:paraId="593CD693" w14:textId="4165EC03" w:rsidR="0032465D" w:rsidRDefault="00F11796" w:rsidP="00166924">
      <w:pPr>
        <w:jc w:val="both"/>
      </w:pPr>
      <w:r>
        <w:t>Con questa chiave di lettura, i</w:t>
      </w:r>
      <w:r w:rsidR="0032465D">
        <w:t xml:space="preserve">l richiamo all’articolo 68 della Legge 488/1999, contenuto nel comma istitutivo della figura dell’accertatore delle entrate, </w:t>
      </w:r>
      <w:r>
        <w:t>necessario</w:t>
      </w:r>
      <w:r w:rsidR="0032465D">
        <w:t xml:space="preserve"> per equiparare i poteri della nuova figura a quella degli ausiliari della sosta, non </w:t>
      </w:r>
      <w:r w:rsidR="00A61454">
        <w:t xml:space="preserve">viene meno e non </w:t>
      </w:r>
      <w:r w:rsidR="0032465D">
        <w:t>inficia sui poteri riconosciuti alla figura dedicata all’accertamento delle violazioni delle entrate comunali</w:t>
      </w:r>
      <w:r w:rsidR="00A61454">
        <w:t xml:space="preserve">. Come detto, </w:t>
      </w:r>
      <w:r w:rsidR="0032465D">
        <w:t>la stessa norma che ha disposto l’abrogazione dell’articolo 68, ha ampliato i poteri delle figure di pubblico ufficiale dedicato all’accertamento delle violazioni  in materia di sosta e fermata</w:t>
      </w:r>
      <w:r w:rsidR="00A61454">
        <w:t xml:space="preserve"> e questo deve leggersi come una conferma </w:t>
      </w:r>
      <w:r w:rsidR="00757C7D">
        <w:t xml:space="preserve">di poteri </w:t>
      </w:r>
      <w:r w:rsidR="00A61454">
        <w:t>anche per la figura dell’accertatore delle entrate.</w:t>
      </w:r>
    </w:p>
    <w:p w14:paraId="7EEC601E" w14:textId="3AF7F23C" w:rsidR="00DC1AD7" w:rsidRDefault="0032465D" w:rsidP="0032465D">
      <w:pPr>
        <w:jc w:val="both"/>
      </w:pPr>
      <w:r>
        <w:t>Nella nuova disciplina</w:t>
      </w:r>
      <w:r w:rsidR="00A61454">
        <w:t xml:space="preserve">, che sarà </w:t>
      </w:r>
      <w:r w:rsidR="00757C7D">
        <w:t xml:space="preserve">quindi assunta come </w:t>
      </w:r>
      <w:r w:rsidR="00A61454">
        <w:t xml:space="preserve">riferimento anche per la figura dell’accertatore tributario, </w:t>
      </w:r>
      <w:r w:rsidR="00D5604D">
        <w:t>si segnala infine un</w:t>
      </w:r>
      <w:r>
        <w:t xml:space="preserve"> interessante disposto </w:t>
      </w:r>
      <w:r w:rsidR="00D5604D">
        <w:t>al</w:t>
      </w:r>
      <w:r>
        <w:t xml:space="preserve"> comma 6 che prevede: </w:t>
      </w:r>
      <w:r w:rsidRPr="0032465D">
        <w:rPr>
          <w:i/>
          <w:iCs/>
        </w:rPr>
        <w:t>“Ai fini dell’accertamento nonché per la redazione della documentazione in ordine alle violazioni di cui al presente articolo è possibile ricorrere all’uso della tecnologia digitale e  a strumenti elettronici e fotografici.”</w:t>
      </w:r>
    </w:p>
    <w:p w14:paraId="2D5FD5CA" w14:textId="75D86E76" w:rsidR="00A61454" w:rsidRDefault="00A61454" w:rsidP="0032465D">
      <w:pPr>
        <w:jc w:val="both"/>
      </w:pPr>
      <w:r>
        <w:t>Una disposizione molto utile, al passo con i tempi, che rende possibile l’utilizzo della tecnologia per facilitare il ruolo dell’accertatore. L’utilizzo di tablet o palmari che consentono</w:t>
      </w:r>
      <w:r w:rsidR="00D5604D">
        <w:t xml:space="preserve">, di consultare in tempo reale la banca dati, </w:t>
      </w:r>
      <w:r w:rsidR="00757C7D">
        <w:t>e di</w:t>
      </w:r>
      <w:r>
        <w:t xml:space="preserve"> redigere verbali in formato digitale, con inclusi servizi di geolocalizzazione e possibilità di abbinare scatti fotografici, sono caratteristiche funzionali estremamente utili per l’attività di rilevazione su territorio.</w:t>
      </w:r>
    </w:p>
    <w:p w14:paraId="63090FAB" w14:textId="75FE1263" w:rsidR="00757C7D" w:rsidRPr="00A61454" w:rsidRDefault="00757C7D" w:rsidP="0032465D">
      <w:pPr>
        <w:jc w:val="both"/>
      </w:pPr>
      <w:r>
        <w:t>Grazie anche a questa nuova disciplina potrà essere meglio organizzato il lavoro dell’accertatore nelle sue funzioni di presidio del territorio e di redazione di verbali di accertamento. Un ruolo in contin</w:t>
      </w:r>
      <w:r w:rsidR="00BF3F6F">
        <w:t>u</w:t>
      </w:r>
      <w:r>
        <w:t>a evoluzione</w:t>
      </w:r>
      <w:r w:rsidR="00BF3F6F">
        <w:t>, sempre molto utile per garantire una efficiente ed efficace gestione delle entrate degli enti locali.</w:t>
      </w:r>
      <w:r>
        <w:t xml:space="preserve">  </w:t>
      </w:r>
    </w:p>
    <w:p w14:paraId="433116F4" w14:textId="77777777" w:rsidR="0032465D" w:rsidRDefault="0032465D" w:rsidP="0032465D">
      <w:pPr>
        <w:jc w:val="both"/>
        <w:rPr>
          <w:i/>
          <w:iCs/>
        </w:rPr>
      </w:pPr>
    </w:p>
    <w:p w14:paraId="6AD3A09D" w14:textId="77777777" w:rsidR="0032465D" w:rsidRDefault="0032465D" w:rsidP="0032465D">
      <w:pPr>
        <w:jc w:val="both"/>
      </w:pPr>
    </w:p>
    <w:p w14:paraId="02D2D842" w14:textId="77777777" w:rsidR="00DC1AD7" w:rsidRDefault="00DC1AD7" w:rsidP="00DC1AD7"/>
    <w:p w14:paraId="3F8A8FBB" w14:textId="50BFB062" w:rsidR="00DC1AD7" w:rsidRPr="00DC1AD7" w:rsidRDefault="00DC1AD7" w:rsidP="00DC1AD7">
      <w:r w:rsidRPr="00DC1AD7">
        <w:t xml:space="preserve"> </w:t>
      </w:r>
    </w:p>
    <w:p w14:paraId="4FA2BE88" w14:textId="77777777" w:rsidR="00DC1AD7" w:rsidRDefault="00DC1AD7" w:rsidP="00DC1AD7"/>
    <w:sectPr w:rsidR="00DC1AD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4B1"/>
    <w:rsid w:val="00060149"/>
    <w:rsid w:val="00166924"/>
    <w:rsid w:val="0032465D"/>
    <w:rsid w:val="003570D0"/>
    <w:rsid w:val="003F7F23"/>
    <w:rsid w:val="005E43B0"/>
    <w:rsid w:val="006E4792"/>
    <w:rsid w:val="00757C7D"/>
    <w:rsid w:val="007E09B3"/>
    <w:rsid w:val="008160B4"/>
    <w:rsid w:val="0094126D"/>
    <w:rsid w:val="00A42E53"/>
    <w:rsid w:val="00A61454"/>
    <w:rsid w:val="00BF3F6F"/>
    <w:rsid w:val="00D154B1"/>
    <w:rsid w:val="00D5604D"/>
    <w:rsid w:val="00DC1AD7"/>
    <w:rsid w:val="00E31ECC"/>
    <w:rsid w:val="00F11796"/>
    <w:rsid w:val="00F20D7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6DD0"/>
  <w15:chartTrackingRefBased/>
  <w15:docId w15:val="{71D67D83-949A-4DD7-9B57-204503D0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473843">
      <w:bodyDiv w:val="1"/>
      <w:marLeft w:val="0"/>
      <w:marRight w:val="0"/>
      <w:marTop w:val="0"/>
      <w:marBottom w:val="0"/>
      <w:divBdr>
        <w:top w:val="none" w:sz="0" w:space="0" w:color="auto"/>
        <w:left w:val="none" w:sz="0" w:space="0" w:color="auto"/>
        <w:bottom w:val="none" w:sz="0" w:space="0" w:color="auto"/>
        <w:right w:val="none" w:sz="0" w:space="0" w:color="auto"/>
      </w:divBdr>
    </w:div>
    <w:div w:id="535966308">
      <w:bodyDiv w:val="1"/>
      <w:marLeft w:val="0"/>
      <w:marRight w:val="0"/>
      <w:marTop w:val="0"/>
      <w:marBottom w:val="0"/>
      <w:divBdr>
        <w:top w:val="none" w:sz="0" w:space="0" w:color="auto"/>
        <w:left w:val="none" w:sz="0" w:space="0" w:color="auto"/>
        <w:bottom w:val="none" w:sz="0" w:space="0" w:color="auto"/>
        <w:right w:val="none" w:sz="0" w:space="0" w:color="auto"/>
      </w:divBdr>
    </w:div>
    <w:div w:id="1106581748">
      <w:bodyDiv w:val="1"/>
      <w:marLeft w:val="0"/>
      <w:marRight w:val="0"/>
      <w:marTop w:val="0"/>
      <w:marBottom w:val="0"/>
      <w:divBdr>
        <w:top w:val="none" w:sz="0" w:space="0" w:color="auto"/>
        <w:left w:val="none" w:sz="0" w:space="0" w:color="auto"/>
        <w:bottom w:val="none" w:sz="0" w:space="0" w:color="auto"/>
        <w:right w:val="none" w:sz="0" w:space="0" w:color="auto"/>
      </w:divBdr>
    </w:div>
    <w:div w:id="1191844749">
      <w:bodyDiv w:val="1"/>
      <w:marLeft w:val="0"/>
      <w:marRight w:val="0"/>
      <w:marTop w:val="0"/>
      <w:marBottom w:val="0"/>
      <w:divBdr>
        <w:top w:val="none" w:sz="0" w:space="0" w:color="auto"/>
        <w:left w:val="none" w:sz="0" w:space="0" w:color="auto"/>
        <w:bottom w:val="none" w:sz="0" w:space="0" w:color="auto"/>
        <w:right w:val="none" w:sz="0" w:space="0" w:color="auto"/>
      </w:divBdr>
    </w:div>
    <w:div w:id="1394353293">
      <w:bodyDiv w:val="1"/>
      <w:marLeft w:val="0"/>
      <w:marRight w:val="0"/>
      <w:marTop w:val="0"/>
      <w:marBottom w:val="0"/>
      <w:divBdr>
        <w:top w:val="none" w:sz="0" w:space="0" w:color="auto"/>
        <w:left w:val="none" w:sz="0" w:space="0" w:color="auto"/>
        <w:bottom w:val="none" w:sz="0" w:space="0" w:color="auto"/>
        <w:right w:val="none" w:sz="0" w:space="0" w:color="auto"/>
      </w:divBdr>
    </w:div>
    <w:div w:id="1607734632">
      <w:bodyDiv w:val="1"/>
      <w:marLeft w:val="0"/>
      <w:marRight w:val="0"/>
      <w:marTop w:val="0"/>
      <w:marBottom w:val="0"/>
      <w:divBdr>
        <w:top w:val="none" w:sz="0" w:space="0" w:color="auto"/>
        <w:left w:val="none" w:sz="0" w:space="0" w:color="auto"/>
        <w:bottom w:val="none" w:sz="0" w:space="0" w:color="auto"/>
        <w:right w:val="none" w:sz="0" w:space="0" w:color="auto"/>
      </w:divBdr>
    </w:div>
    <w:div w:id="169091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1310</TotalTime>
  <Pages>2</Pages>
  <Words>947</Words>
  <Characters>5400</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12</cp:revision>
  <dcterms:created xsi:type="dcterms:W3CDTF">2023-09-20T06:32:00Z</dcterms:created>
  <dcterms:modified xsi:type="dcterms:W3CDTF">2023-10-12T11:00:00Z</dcterms:modified>
</cp:coreProperties>
</file>