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45E0" w14:textId="4F662B6B" w:rsidR="00060149" w:rsidRDefault="00285772">
      <w:r>
        <w:t xml:space="preserve">Titolo: </w:t>
      </w:r>
      <w:r w:rsidR="00AC03E5" w:rsidRPr="00AC03E5">
        <w:t xml:space="preserve">La Cassazione consolida l'orientamento sull'applicazione CUP </w:t>
      </w:r>
      <w:r w:rsidR="00AC03E5">
        <w:t>per i</w:t>
      </w:r>
      <w:r w:rsidR="00AC03E5" w:rsidRPr="00AC03E5">
        <w:t xml:space="preserve"> viadotti autostradali</w:t>
      </w:r>
    </w:p>
    <w:p w14:paraId="2D81AAD8" w14:textId="5B4560B9" w:rsidR="00285772" w:rsidRDefault="00285772">
      <w:r>
        <w:t>Di Alessandro Merciari</w:t>
      </w:r>
    </w:p>
    <w:p w14:paraId="7FC2A75B" w14:textId="77777777" w:rsidR="00285772" w:rsidRDefault="00285772"/>
    <w:p w14:paraId="40988475" w14:textId="5B08E77B" w:rsidR="00AC03E5" w:rsidRDefault="00AC03E5" w:rsidP="00AC03E5">
      <w:pPr>
        <w:jc w:val="both"/>
      </w:pPr>
      <w:r>
        <w:t xml:space="preserve">la Corte di Cassazione </w:t>
      </w:r>
      <w:r>
        <w:t xml:space="preserve">prende le distanze da alcune sentenze del Consiglio di Stato </w:t>
      </w:r>
      <w:r w:rsidR="00F03567">
        <w:t>pronunciate in</w:t>
      </w:r>
      <w:r>
        <w:t xml:space="preserve"> materia di Canone </w:t>
      </w:r>
      <w:r w:rsidR="00A96FDF">
        <w:t>Unico per</w:t>
      </w:r>
      <w:r>
        <w:t xml:space="preserve"> le occupazioni di soprassuolo realizzate con pontoni e viadotti e oggetto di richieste </w:t>
      </w:r>
      <w:r w:rsidR="00F03567">
        <w:t xml:space="preserve">di pagamento </w:t>
      </w:r>
      <w:r>
        <w:t xml:space="preserve">a carico delle società concessionarie di tratti </w:t>
      </w:r>
      <w:r>
        <w:t>autostradali</w:t>
      </w:r>
      <w:r>
        <w:t xml:space="preserve">. </w:t>
      </w:r>
    </w:p>
    <w:p w14:paraId="374661D3" w14:textId="2C1D20C5" w:rsidR="00AC03E5" w:rsidRDefault="00AC03E5" w:rsidP="00AC03E5">
      <w:pPr>
        <w:jc w:val="both"/>
      </w:pPr>
      <w:r>
        <w:t>È recente la modifica del</w:t>
      </w:r>
      <w:r>
        <w:t xml:space="preserve">la strategia difensiva adottata da alcune concessionarie </w:t>
      </w:r>
      <w:r>
        <w:t xml:space="preserve">che hanno deciso di </w:t>
      </w:r>
      <w:r w:rsidR="00A96FDF">
        <w:t>radicare innanzi</w:t>
      </w:r>
      <w:r>
        <w:t xml:space="preserve"> alla Giustizia Amministrativa delle cause contro i provvedimenti emessi a loro carico d</w:t>
      </w:r>
      <w:r>
        <w:t xml:space="preserve">a Comuni, Province e Città Metropolitane, </w:t>
      </w:r>
      <w:r>
        <w:t xml:space="preserve">per la sottrazione di spazi che sovrastano </w:t>
      </w:r>
      <w:r>
        <w:t>aree appartenenti al patrimonio indisponibile degli Enti locali</w:t>
      </w:r>
      <w:r w:rsidR="00A96FDF">
        <w:t>.</w:t>
      </w:r>
    </w:p>
    <w:p w14:paraId="433FDEF1" w14:textId="55ED54BE" w:rsidR="0026326F" w:rsidRDefault="00AC03E5" w:rsidP="00AC03E5">
      <w:pPr>
        <w:jc w:val="both"/>
      </w:pPr>
      <w:r>
        <w:t xml:space="preserve">Dopo aver </w:t>
      </w:r>
      <w:r w:rsidR="00A96FDF">
        <w:t>consumato</w:t>
      </w:r>
      <w:r>
        <w:t xml:space="preserve"> </w:t>
      </w:r>
      <w:r w:rsidR="000B28B3">
        <w:t xml:space="preserve">senza successo </w:t>
      </w:r>
      <w:r w:rsidR="00A96FDF">
        <w:t>decine di</w:t>
      </w:r>
      <w:r>
        <w:t xml:space="preserve"> contenziosi presso le Corti di Giustizia </w:t>
      </w:r>
      <w:r w:rsidR="00A96FDF">
        <w:t xml:space="preserve">Tributaria </w:t>
      </w:r>
      <w:r w:rsidR="000B28B3">
        <w:t>e</w:t>
      </w:r>
      <w:r>
        <w:t xml:space="preserve"> presso i Tribunali Ordinari, fino alle opposizioni innanzi alla Corte di Cassazione, </w:t>
      </w:r>
      <w:r w:rsidR="00A96FDF">
        <w:t>da qualche tempo</w:t>
      </w:r>
      <w:r>
        <w:t xml:space="preserve"> queste società </w:t>
      </w:r>
      <w:r w:rsidR="000B28B3">
        <w:t>hanno incardinato</w:t>
      </w:r>
      <w:r>
        <w:t xml:space="preserve"> il contenzioso CUP presso i TAR Regionali</w:t>
      </w:r>
      <w:r w:rsidR="00A96FDF">
        <w:t xml:space="preserve">, cercando di sovvertire un orientamento </w:t>
      </w:r>
      <w:r w:rsidR="000B28B3">
        <w:t xml:space="preserve">giurisprudenziale </w:t>
      </w:r>
      <w:r w:rsidR="00A96FDF">
        <w:t xml:space="preserve">più che consolidato. </w:t>
      </w:r>
    </w:p>
    <w:p w14:paraId="7317D916" w14:textId="4B1844FE" w:rsidR="00F04E4D" w:rsidRDefault="0026326F" w:rsidP="00F67C6C">
      <w:pPr>
        <w:jc w:val="both"/>
      </w:pPr>
      <w:r>
        <w:t>Ebbene, la Corte di Cassazione</w:t>
      </w:r>
      <w:r w:rsidR="00A96FDF">
        <w:t xml:space="preserve">, anche di fronte a sentenze della giustizia </w:t>
      </w:r>
      <w:r w:rsidR="000B28B3">
        <w:t>amministrativa che</w:t>
      </w:r>
      <w:r w:rsidR="00A96FDF">
        <w:t xml:space="preserve"> ribaltavano i giudizi e la soccombenza delle società </w:t>
      </w:r>
      <w:r w:rsidR="000B28B3">
        <w:t>autostradali, si</w:t>
      </w:r>
      <w:r>
        <w:t xml:space="preserve"> è espressa</w:t>
      </w:r>
      <w:r w:rsidR="00A96FDF">
        <w:t>,</w:t>
      </w:r>
      <w:r>
        <w:t xml:space="preserve"> </w:t>
      </w:r>
      <w:r w:rsidR="00D75582">
        <w:t>anche recentemente</w:t>
      </w:r>
      <w:r w:rsidR="00A96FDF">
        <w:t>,</w:t>
      </w:r>
      <w:r w:rsidR="00D75582">
        <w:t xml:space="preserve"> </w:t>
      </w:r>
      <w:r w:rsidR="00F04E4D">
        <w:t xml:space="preserve">sconfessando le motivazioni </w:t>
      </w:r>
      <w:r w:rsidR="00BC6EDB">
        <w:t xml:space="preserve">assunte </w:t>
      </w:r>
      <w:r w:rsidR="00F04E4D">
        <w:t xml:space="preserve">nelle </w:t>
      </w:r>
      <w:r w:rsidR="00A96FDF">
        <w:t xml:space="preserve">(poche) </w:t>
      </w:r>
      <w:r w:rsidR="00F04E4D">
        <w:t>sentenze</w:t>
      </w:r>
      <w:r w:rsidR="00D75582">
        <w:t xml:space="preserve"> </w:t>
      </w:r>
      <w:r w:rsidR="00F04E4D">
        <w:t xml:space="preserve">emesse </w:t>
      </w:r>
      <w:r w:rsidR="00D75582">
        <w:t>d</w:t>
      </w:r>
      <w:r w:rsidR="00F04E4D">
        <w:t>a</w:t>
      </w:r>
      <w:r w:rsidR="00D75582">
        <w:t>l Consiglio di Stato</w:t>
      </w:r>
      <w:r w:rsidR="00706451">
        <w:t xml:space="preserve"> che</w:t>
      </w:r>
      <w:r w:rsidR="00A96FDF">
        <w:t xml:space="preserve">, usando le parole della stessa </w:t>
      </w:r>
      <w:r w:rsidR="000B28B3" w:rsidRPr="00706451">
        <w:t>C</w:t>
      </w:r>
      <w:r w:rsidR="000B28B3">
        <w:t>assazione</w:t>
      </w:r>
      <w:r w:rsidR="00A96FDF">
        <w:t>,</w:t>
      </w:r>
      <w:r w:rsidR="00706451">
        <w:t xml:space="preserve"> </w:t>
      </w:r>
      <w:r w:rsidR="00706451" w:rsidRPr="00706451">
        <w:t xml:space="preserve">non si </w:t>
      </w:r>
      <w:r w:rsidR="00706451">
        <w:t xml:space="preserve">è mai </w:t>
      </w:r>
      <w:r w:rsidR="00706451" w:rsidRPr="00706451">
        <w:t>confronta</w:t>
      </w:r>
      <w:r w:rsidR="00706451">
        <w:t>to</w:t>
      </w:r>
      <w:r w:rsidR="00706451" w:rsidRPr="00706451">
        <w:t xml:space="preserve"> con l'ormai consolidato indirizzo </w:t>
      </w:r>
      <w:r w:rsidR="00A96FDF">
        <w:t>assunto dalla</w:t>
      </w:r>
      <w:r w:rsidR="000B28B3">
        <w:t xml:space="preserve"> </w:t>
      </w:r>
      <w:r w:rsidR="000B28B3">
        <w:t>Suprema Corte</w:t>
      </w:r>
      <w:r>
        <w:t>.</w:t>
      </w:r>
      <w:r w:rsidR="00F04E4D">
        <w:t xml:space="preserve"> </w:t>
      </w:r>
    </w:p>
    <w:p w14:paraId="2E5AF248" w14:textId="3CE5B166" w:rsidR="00F04E4D" w:rsidRDefault="00F04E4D" w:rsidP="00F67C6C">
      <w:pPr>
        <w:jc w:val="both"/>
      </w:pPr>
      <w:r>
        <w:t>In particolare le</w:t>
      </w:r>
      <w:r w:rsidRPr="00F04E4D">
        <w:t xml:space="preserve"> varie pronunce amministrative che si </w:t>
      </w:r>
      <w:r w:rsidR="00BC6EDB">
        <w:t>erano</w:t>
      </w:r>
      <w:r w:rsidRPr="00F04E4D">
        <w:t xml:space="preserve"> occupate dell’argomento (Cons. Stato, sentenze numeri 10010- 10011-10012-10013-10014-10015-10016-10017-10018 delle 22/11/2023 e n. 10130/2023 delle 27/11/23), </w:t>
      </w:r>
      <w:r>
        <w:t>avevano</w:t>
      </w:r>
      <w:r w:rsidRPr="00F04E4D">
        <w:t xml:space="preserve"> esclus</w:t>
      </w:r>
      <w:r>
        <w:t>o</w:t>
      </w:r>
      <w:r w:rsidRPr="00F04E4D">
        <w:t xml:space="preserve"> dall’ambito applicativo del COSAP le occupazioni che non necessita</w:t>
      </w:r>
      <w:r w:rsidR="00A96FDF">
        <w:t>va</w:t>
      </w:r>
      <w:r w:rsidRPr="00F04E4D">
        <w:t>no di concessione provinciale</w:t>
      </w:r>
      <w:r>
        <w:t xml:space="preserve"> o comunale</w:t>
      </w:r>
      <w:r w:rsidRPr="00F04E4D">
        <w:t>, ovvero quelle che non si riferi</w:t>
      </w:r>
      <w:r w:rsidR="00A96FDF">
        <w:t>vano</w:t>
      </w:r>
      <w:r w:rsidRPr="00F04E4D">
        <w:t xml:space="preserve"> a beni appartenenti al demanio o al patrimonio indisponibile dell’ente locale, ovvero le ipotesi in cui il medesimo ente </w:t>
      </w:r>
      <w:r w:rsidR="00A96FDF">
        <w:t>fosse</w:t>
      </w:r>
      <w:r w:rsidRPr="00F04E4D">
        <w:t xml:space="preserve"> sprovvisto del potere di accordare (o negare) l’occupazione, in quanto involgenti interessi di più ampio rilievo. </w:t>
      </w:r>
    </w:p>
    <w:p w14:paraId="31F428CA" w14:textId="4A956EF5" w:rsidR="00BC6EDB" w:rsidRDefault="00F04E4D" w:rsidP="00F67C6C">
      <w:pPr>
        <w:jc w:val="both"/>
        <w:rPr>
          <w:i/>
          <w:iCs/>
        </w:rPr>
      </w:pPr>
      <w:r w:rsidRPr="00F04E4D">
        <w:t xml:space="preserve">Sarebbe </w:t>
      </w:r>
      <w:r w:rsidR="00A96FDF">
        <w:t xml:space="preserve">stato </w:t>
      </w:r>
      <w:r w:rsidRPr="00F04E4D">
        <w:t>impossibile</w:t>
      </w:r>
      <w:r>
        <w:t>, secondo il Consiglio di Stato</w:t>
      </w:r>
      <w:r w:rsidR="00C52A69">
        <w:t>,</w:t>
      </w:r>
      <w:r w:rsidRPr="00F04E4D">
        <w:t xml:space="preserve"> configurare i presupposti applicativi del COSAP</w:t>
      </w:r>
      <w:r w:rsidR="00A96FDF">
        <w:t xml:space="preserve"> (oggi CUP)</w:t>
      </w:r>
      <w:r w:rsidRPr="00F04E4D">
        <w:t>, in quanto questo non pot</w:t>
      </w:r>
      <w:r w:rsidR="00A96FDF">
        <w:t>eva</w:t>
      </w:r>
      <w:r w:rsidRPr="00F04E4D">
        <w:t xml:space="preserve"> certo gravare «</w:t>
      </w:r>
      <w:r w:rsidRPr="00F04E4D">
        <w:rPr>
          <w:i/>
          <w:iCs/>
        </w:rPr>
        <w:t>un bene del demanio statale, per di più realizzato per evidenti finalità di interesse generale</w:t>
      </w:r>
      <w:r w:rsidRPr="00F04E4D">
        <w:t>». L’esistenza e l’utilizzo di un ponte autostradale, in quanto parte inseparabile di un bene demaniale funzionalmente unitario, non richiede</w:t>
      </w:r>
      <w:r w:rsidR="00A96FDF">
        <w:t>va</w:t>
      </w:r>
      <w:r w:rsidRPr="00F04E4D">
        <w:t xml:space="preserve"> «</w:t>
      </w:r>
      <w:r w:rsidRPr="00C52A69">
        <w:rPr>
          <w:i/>
          <w:iCs/>
        </w:rPr>
        <w:t>alcuna autorizzazione da parte degli enti territoriali cui appartengono gli eventuali beni al di sopra dei quali</w:t>
      </w:r>
      <w:r w:rsidR="00BC6EDB">
        <w:rPr>
          <w:i/>
          <w:iCs/>
        </w:rPr>
        <w:t xml:space="preserve"> </w:t>
      </w:r>
      <w:r w:rsidR="00BC6EDB" w:rsidRPr="00BC6EDB">
        <w:rPr>
          <w:i/>
          <w:iCs/>
        </w:rPr>
        <w:t xml:space="preserve">la detta struttura sia stata a suo tempo realizzata in base ad un’espressa disposizione di legge». </w:t>
      </w:r>
      <w:r w:rsidR="00BC6EDB" w:rsidRPr="00BC6EDB">
        <w:t>Per tale ragione</w:t>
      </w:r>
      <w:r w:rsidR="00BC6EDB" w:rsidRPr="00BC6EDB">
        <w:rPr>
          <w:i/>
          <w:iCs/>
        </w:rPr>
        <w:t xml:space="preserve"> «nessun canone (o altro corrispettivo) di occupazione sarà reciprocamente dovuto dalle parti in causa». </w:t>
      </w:r>
    </w:p>
    <w:p w14:paraId="05187609" w14:textId="2C04E243" w:rsidR="00A96FDF" w:rsidRDefault="000B28B3" w:rsidP="00F67C6C">
      <w:pPr>
        <w:jc w:val="both"/>
      </w:pPr>
      <w:r>
        <w:t>S</w:t>
      </w:r>
      <w:r w:rsidR="00BC6EDB">
        <w:t xml:space="preserve">econdo il Consiglio di Stato, </w:t>
      </w:r>
      <w:r w:rsidR="00BC6EDB" w:rsidRPr="00BC6EDB">
        <w:t>per la realizzazione e la gestione di opera autostradali, le società concessionarie non d</w:t>
      </w:r>
      <w:r w:rsidR="00A96FDF">
        <w:t>ovevano</w:t>
      </w:r>
      <w:r w:rsidR="00BC6EDB" w:rsidRPr="00BC6EDB">
        <w:t xml:space="preserve"> chiedere alcuna concessione agli enti locali per l’attraversamento sovrastante/sottostante di strade, comunali o provinciali. </w:t>
      </w:r>
    </w:p>
    <w:p w14:paraId="0E4695DB" w14:textId="2A82C55B" w:rsidR="00F04E4D" w:rsidRPr="00BC6EDB" w:rsidRDefault="00BC6EDB" w:rsidP="00F67C6C">
      <w:pPr>
        <w:jc w:val="both"/>
      </w:pPr>
      <w:r>
        <w:t>Con questa visione, n</w:t>
      </w:r>
      <w:r w:rsidRPr="00BC6EDB">
        <w:t>on potendo la Provincia e il Comune accordare o negare concessioni per le infrastrutture autostradali, la concessionaria</w:t>
      </w:r>
      <w:r>
        <w:t xml:space="preserve"> autostradale </w:t>
      </w:r>
      <w:r w:rsidRPr="00BC6EDB">
        <w:t xml:space="preserve">non </w:t>
      </w:r>
      <w:r w:rsidR="00A96FDF">
        <w:t>poteva</w:t>
      </w:r>
      <w:r w:rsidRPr="00BC6EDB">
        <w:t xml:space="preserve"> </w:t>
      </w:r>
      <w:r w:rsidR="00A96FDF">
        <w:t xml:space="preserve">quindi </w:t>
      </w:r>
      <w:r w:rsidRPr="00BC6EDB">
        <w:t xml:space="preserve">essere inclusa </w:t>
      </w:r>
      <w:r>
        <w:t>tra i</w:t>
      </w:r>
      <w:r w:rsidRPr="00BC6EDB">
        <w:t xml:space="preserve"> soggetti passivi per l’applicazione del canone.</w:t>
      </w:r>
    </w:p>
    <w:p w14:paraId="66A354FF" w14:textId="711B8B94" w:rsidR="00F04E4D" w:rsidRDefault="00A96FDF" w:rsidP="00264AEE">
      <w:pPr>
        <w:jc w:val="both"/>
      </w:pPr>
      <w:r>
        <w:t xml:space="preserve">Tuttavia, </w:t>
      </w:r>
      <w:r w:rsidR="00706451">
        <w:t>la Corte di</w:t>
      </w:r>
      <w:r w:rsidR="00F04E4D">
        <w:t xml:space="preserve"> Cassazione</w:t>
      </w:r>
      <w:r w:rsidR="00BC6EDB">
        <w:t xml:space="preserve">, </w:t>
      </w:r>
      <w:r w:rsidR="000B28B3">
        <w:t>affermando</w:t>
      </w:r>
      <w:r w:rsidR="00BC6EDB">
        <w:t xml:space="preserve"> il proprio orientamento, ha sconfessato la linea del Consiglio di Stato</w:t>
      </w:r>
      <w:r>
        <w:t xml:space="preserve">, </w:t>
      </w:r>
      <w:r w:rsidR="000B28B3">
        <w:t>affrontando</w:t>
      </w:r>
      <w:r w:rsidR="0026326F">
        <w:t xml:space="preserve"> in modo </w:t>
      </w:r>
      <w:r w:rsidR="00F04E4D">
        <w:t xml:space="preserve">diretto e </w:t>
      </w:r>
      <w:r w:rsidR="0026326F">
        <w:t xml:space="preserve">specifico le </w:t>
      </w:r>
      <w:r w:rsidR="00F04E4D">
        <w:t>decisioni contrarie</w:t>
      </w:r>
      <w:r w:rsidR="0026326F">
        <w:t xml:space="preserve"> adottate d</w:t>
      </w:r>
      <w:r>
        <w:t>ai giudici amministrativi</w:t>
      </w:r>
      <w:r w:rsidR="0026326F">
        <w:t>.</w:t>
      </w:r>
      <w:r>
        <w:t xml:space="preserve"> </w:t>
      </w:r>
      <w:r w:rsidR="004E7001">
        <w:t xml:space="preserve">L’ha fatto certamente nella </w:t>
      </w:r>
      <w:r w:rsidR="000B28B3">
        <w:rPr>
          <w:b/>
          <w:bCs/>
        </w:rPr>
        <w:t>s</w:t>
      </w:r>
      <w:r w:rsidR="00264AEE" w:rsidRPr="009B2FB5">
        <w:rPr>
          <w:b/>
          <w:bCs/>
        </w:rPr>
        <w:t xml:space="preserve">entenza n. 20708 anno 2024 </w:t>
      </w:r>
      <w:r w:rsidR="00264AEE" w:rsidRPr="004E7001">
        <w:t>pubblicata il 25/07/2024</w:t>
      </w:r>
      <w:r w:rsidR="00264AEE">
        <w:t xml:space="preserve"> </w:t>
      </w:r>
      <w:r w:rsidR="004E7001">
        <w:t xml:space="preserve">dove si </w:t>
      </w:r>
      <w:r w:rsidR="00F04E4D">
        <w:t>legge:</w:t>
      </w:r>
    </w:p>
    <w:p w14:paraId="55EABFA4" w14:textId="77777777" w:rsidR="00264AEE" w:rsidRPr="00DF0863" w:rsidRDefault="00264AEE" w:rsidP="00264AEE">
      <w:pPr>
        <w:jc w:val="both"/>
        <w:rPr>
          <w:i/>
          <w:iCs/>
        </w:rPr>
      </w:pPr>
      <w:r>
        <w:rPr>
          <w:i/>
          <w:iCs/>
        </w:rPr>
        <w:t>“</w:t>
      </w:r>
      <w:r w:rsidRPr="00DF0863">
        <w:rPr>
          <w:i/>
          <w:iCs/>
        </w:rPr>
        <w:t xml:space="preserve">E’ dirimente, pertanto, rimarcare, nelle ipotesi, come quella che si sta scrutinando, in cui l'occupazione non sia assistita da un atto concessorio della Provincia, l'attività di gestione economica e funzionale del bene, </w:t>
      </w:r>
      <w:r w:rsidRPr="00DF0863">
        <w:rPr>
          <w:i/>
          <w:iCs/>
        </w:rPr>
        <w:lastRenderedPageBreak/>
        <w:t xml:space="preserve">effettuata dalla società concessionaria e le finalità lucrative proprie dell'attività d'impresa svolte dalla medesima, ciò determinando l'effetto di escludere l'estensione dell'esenzione – della quale fruisca il soggetto autorizzato - alle occupazioni connesse e conseguenti a tali attività e finalità. Questo principio risulta evidentemente applicabile anche al COSAP - ove il regolamento abbia previsto l'esenzione a favore dell'ente concedente. </w:t>
      </w:r>
    </w:p>
    <w:p w14:paraId="29C6E21A" w14:textId="63A8C368" w:rsidR="00264AEE" w:rsidRPr="00DF0863" w:rsidRDefault="00264AEE" w:rsidP="00264AEE">
      <w:pPr>
        <w:jc w:val="both"/>
        <w:rPr>
          <w:i/>
          <w:iCs/>
        </w:rPr>
      </w:pPr>
      <w:r w:rsidRPr="00DF0863">
        <w:rPr>
          <w:i/>
          <w:iCs/>
        </w:rPr>
        <w:t>4.3. Nel caso in esame, la Provincia si è avvalsa della facoltà attribuitale dal citato art. 63 ed ha istituito il COSAP con Regolamento, prevedendo all'art.29 - in linea con la normativa richiamata - che il canone è dovuto dall'intestatario dell'autorizzazione o, in mancanza di regolare autorizzazione/concessioni o nulla osta, è dovuto dal titolare dell'occupazione - sia esso proprietario o affittuario o usufruttuario o occupante di fatto anche abusivo; ha altresì introdotto, all'art.30 l'esenzione per le occupazioni effettuate dallo Stato, in applicazione di quanto già previsto dall'art.49, comma 1, del d.lgs. n.507/1993.</w:t>
      </w:r>
      <w:r>
        <w:rPr>
          <w:i/>
          <w:iCs/>
        </w:rPr>
        <w:t>”</w:t>
      </w:r>
    </w:p>
    <w:p w14:paraId="4DDCCC06" w14:textId="5C37170C" w:rsidR="00264AEE" w:rsidRDefault="00264AEE" w:rsidP="00264AEE">
      <w:pPr>
        <w:jc w:val="both"/>
        <w:rPr>
          <w:i/>
          <w:iCs/>
        </w:rPr>
      </w:pPr>
      <w:r>
        <w:t xml:space="preserve">Prosegue: </w:t>
      </w:r>
      <w:r w:rsidRPr="00DF0863">
        <w:rPr>
          <w:i/>
          <w:iCs/>
        </w:rPr>
        <w:t xml:space="preserve">“Infine, inconferente, nel delineato contesto, è anche il riferimento all’appartenenza dell'autostrada al demanio statale ex art.822 cod. cod. ed è altresì marginale e priva di decisività l’indagine sulla effettiva proprietà dell'infrastruttura autostradale e del pontone che occupa, per proiezione, la strada provinciale sottostante (così anche da ultimo Cass. 10351/2023; Cass. 2486/2024). Infatti la proprietà statale dell'autostrada e così del viadotto non interferisce con la circostanza - integrativa del presupposto di applicazione del cosap da parte della </w:t>
      </w:r>
      <w:r w:rsidR="004E7001">
        <w:rPr>
          <w:i/>
          <w:iCs/>
        </w:rPr>
        <w:t>P</w:t>
      </w:r>
      <w:r w:rsidRPr="00DF0863">
        <w:rPr>
          <w:i/>
          <w:iCs/>
        </w:rPr>
        <w:t>rovincia - secondo cui, nel periodo di durata della concessione, la società disponeva del viadotto, per la relativa gestione quale concessionaria, ed in tal modo essa realizzava la condotta di "occupazione" del sottostante suolo provinciale, anche se, si ribadisce, solo per proiezione.</w:t>
      </w:r>
      <w:r>
        <w:rPr>
          <w:i/>
          <w:iCs/>
        </w:rPr>
        <w:t xml:space="preserve"> </w:t>
      </w:r>
      <w:r w:rsidRPr="00DF0863">
        <w:rPr>
          <w:i/>
          <w:iCs/>
        </w:rPr>
        <w:t>4.5. Partendo proprio da quest’ultima considerazione, che il Collegio intende qui ribadire, non può condividersi la diversa ricostruzione, a cui ha prestato adesione la Procura Generale, fornita dal giudice amministrativo con le sentenze allegate dalla ricorrente, emesse in giudizi instaurati da Autostrade s.p.a. avverso verbali di accertamento relativi a sanzioni amministrative pecuniarie per “occupazione abusiva”.</w:t>
      </w:r>
    </w:p>
    <w:p w14:paraId="2A8BCE15" w14:textId="77777777" w:rsidR="00264AEE" w:rsidRPr="00264AEE" w:rsidRDefault="00264AEE" w:rsidP="00264AEE">
      <w:pPr>
        <w:jc w:val="both"/>
        <w:rPr>
          <w:i/>
          <w:iCs/>
        </w:rPr>
      </w:pPr>
      <w:r w:rsidRPr="00264AEE">
        <w:t>Conclude la Corte di Cassazione esprimendosi in questi termini: “</w:t>
      </w:r>
      <w:r w:rsidRPr="00264AEE">
        <w:rPr>
          <w:i/>
          <w:iCs/>
        </w:rPr>
        <w:t>Le citate pronunce del Consiglio di Stato, che, peraltro, non si confrontano con l’ormai consolidato indirizzo di questa Corte di cui si è dato conto, offrono una lettura ermeneutica del “combinato disposto” delle norme in discussione non rispondente al dettato complessivo della stessa disciplina nei termini precisati e non rispettosa dei suesposti principi, oltre che contrastante con il tenore letterale delle previsioni del regolamento cosap ora in esame. In particolare, come si è rimarcato, l’elemento scriminante, che consente di escludere l’assoggettamento al cosap, è l’occupazione dello spazio dell’ente locale posta in essere direttamente dal soggetto esente, il che incontrovertibilmente non è nella specie.”</w:t>
      </w:r>
    </w:p>
    <w:p w14:paraId="3037CCB7" w14:textId="48C6A27A" w:rsidR="0026326F" w:rsidRPr="004E7001" w:rsidRDefault="004E7001" w:rsidP="00F67C6C">
      <w:pPr>
        <w:jc w:val="both"/>
      </w:pPr>
      <w:r>
        <w:t xml:space="preserve">Dopo questa sentenza in cui è stata presa una posizione netta nei confronti della giurisprudenza formatasi in ambito di giustizia amministrativa, </w:t>
      </w:r>
      <w:r w:rsidR="00666D7F">
        <w:t>la stessa Corte di Cassazione ha confermato il proprio orientamento, con diverse sentenze</w:t>
      </w:r>
      <w:r>
        <w:t xml:space="preserve"> emesse nel corrente 2025</w:t>
      </w:r>
      <w:r w:rsidR="00666D7F">
        <w:t xml:space="preserve">. </w:t>
      </w:r>
      <w:r>
        <w:t xml:space="preserve">Tra queste </w:t>
      </w:r>
      <w:r w:rsidR="00291CCC">
        <w:t xml:space="preserve">segnaliamo </w:t>
      </w:r>
      <w:r>
        <w:t>la</w:t>
      </w:r>
      <w:r w:rsidR="0026326F">
        <w:t xml:space="preserve"> </w:t>
      </w:r>
      <w:r w:rsidR="009B2FB5">
        <w:rPr>
          <w:b/>
          <w:bCs/>
        </w:rPr>
        <w:t>S</w:t>
      </w:r>
      <w:r w:rsidR="0026326F" w:rsidRPr="009B2FB5">
        <w:rPr>
          <w:b/>
          <w:bCs/>
        </w:rPr>
        <w:t xml:space="preserve">entenza n. 6905 </w:t>
      </w:r>
      <w:r w:rsidR="009B2FB5" w:rsidRPr="004E7001">
        <w:t xml:space="preserve">pubblicata il </w:t>
      </w:r>
      <w:r w:rsidR="0026326F" w:rsidRPr="004E7001">
        <w:t>15/03/2025</w:t>
      </w:r>
      <w:r w:rsidR="0026326F">
        <w:t xml:space="preserve"> </w:t>
      </w:r>
      <w:r>
        <w:t>nella quale si richiama la</w:t>
      </w:r>
      <w:r w:rsidR="00291CCC">
        <w:t xml:space="preserve"> stessa</w:t>
      </w:r>
      <w:r>
        <w:t xml:space="preserve"> </w:t>
      </w:r>
      <w:r w:rsidR="0026326F" w:rsidRPr="0026326F">
        <w:rPr>
          <w:i/>
          <w:iCs/>
        </w:rPr>
        <w:t>Cass., sez. 1, 25/7/2024, n. 20708</w:t>
      </w:r>
      <w:r>
        <w:rPr>
          <w:i/>
          <w:iCs/>
        </w:rPr>
        <w:t xml:space="preserve"> </w:t>
      </w:r>
      <w:r w:rsidRPr="004E7001">
        <w:t>e</w:t>
      </w:r>
      <w:r>
        <w:t xml:space="preserve"> nella quale si ribadisce</w:t>
      </w:r>
      <w:r w:rsidRPr="004E7001">
        <w:t xml:space="preserve"> il principio secondo cui </w:t>
      </w:r>
      <w:r>
        <w:t>l</w:t>
      </w:r>
      <w:r w:rsidR="0026326F" w:rsidRPr="004E7001">
        <w:t xml:space="preserve">a norma </w:t>
      </w:r>
      <w:r>
        <w:t xml:space="preserve">dedicata alle occupazioni di suolo pubblico </w:t>
      </w:r>
      <w:r w:rsidR="0026326F" w:rsidRPr="004E7001">
        <w:t xml:space="preserve">prevede l'esenzione per le </w:t>
      </w:r>
      <w:r w:rsidR="00291CCC">
        <w:t xml:space="preserve">sole </w:t>
      </w:r>
      <w:r w:rsidR="0026326F" w:rsidRPr="004E7001">
        <w:t xml:space="preserve">occupazioni effettuate </w:t>
      </w:r>
      <w:r>
        <w:t xml:space="preserve">direttamente </w:t>
      </w:r>
      <w:r w:rsidR="0026326F" w:rsidRPr="004E7001">
        <w:t>dallo Stato</w:t>
      </w:r>
      <w:r w:rsidR="00291CCC">
        <w:t>.</w:t>
      </w:r>
    </w:p>
    <w:p w14:paraId="2E8C4A7A" w14:textId="4A22E9F2" w:rsidR="0071531F" w:rsidRPr="0071531F" w:rsidRDefault="00D75582" w:rsidP="0071531F">
      <w:pPr>
        <w:jc w:val="both"/>
        <w:rPr>
          <w:i/>
          <w:iCs/>
        </w:rPr>
      </w:pPr>
      <w:r>
        <w:t xml:space="preserve">Sulla stessa linea </w:t>
      </w:r>
      <w:r w:rsidR="00291CCC">
        <w:t>troviamo la</w:t>
      </w:r>
      <w:r w:rsidR="0071531F">
        <w:t xml:space="preserve"> </w:t>
      </w:r>
      <w:r w:rsidR="000B28B3">
        <w:rPr>
          <w:b/>
          <w:bCs/>
        </w:rPr>
        <w:t>s</w:t>
      </w:r>
      <w:r w:rsidR="0071531F" w:rsidRPr="009B2FB5">
        <w:rPr>
          <w:b/>
          <w:bCs/>
        </w:rPr>
        <w:t xml:space="preserve">entenza n. 798 </w:t>
      </w:r>
      <w:r w:rsidRPr="00291CCC">
        <w:t>pubblicata il 12/01/2025</w:t>
      </w:r>
      <w:r>
        <w:t xml:space="preserve"> </w:t>
      </w:r>
      <w:r w:rsidR="00291CCC">
        <w:t>nella quale</w:t>
      </w:r>
      <w:r>
        <w:t xml:space="preserve"> i giudici della Suprema Corte di Cassazione </w:t>
      </w:r>
      <w:r w:rsidR="00291CCC">
        <w:t>confermano che:</w:t>
      </w:r>
      <w:r w:rsidR="0071531F" w:rsidRPr="0071531F">
        <w:rPr>
          <w:i/>
          <w:iCs/>
        </w:rPr>
        <w:t xml:space="preserve"> </w:t>
      </w:r>
      <w:r w:rsidR="00291CCC">
        <w:rPr>
          <w:i/>
          <w:iCs/>
        </w:rPr>
        <w:t>“</w:t>
      </w:r>
      <w:r w:rsidR="0071531F" w:rsidRPr="0071531F">
        <w:rPr>
          <w:i/>
          <w:iCs/>
        </w:rPr>
        <w:t>Diversamente da quanto osservato dalla menzionata giurisprudenza amministrativa, non sembra, dunque, rilevare ai fini impositivi la supremazia dello Stato sul Comune o sulla Provincia, dal momento che questa può, per l’appunto, interferire, neutralizzandola, sulla necessità di un provvedimento concessorio, ma non sul materializzarsi del presupposto del tributo costituito dal fatto in sé dell’occupazione; a meno che, ben inteso, non si verta di occupazione posta “direttamente” in essere dallo Stato nell’esercizio di quella supremazia.</w:t>
      </w:r>
      <w:r w:rsidR="00291CCC">
        <w:rPr>
          <w:i/>
          <w:iCs/>
        </w:rPr>
        <w:t>”</w:t>
      </w:r>
      <w:r w:rsidR="0071531F" w:rsidRPr="0071531F">
        <w:rPr>
          <w:i/>
          <w:iCs/>
        </w:rPr>
        <w:t xml:space="preserve"> </w:t>
      </w:r>
    </w:p>
    <w:p w14:paraId="09D13512" w14:textId="29A899C0" w:rsidR="00E37167" w:rsidRPr="00291CCC" w:rsidRDefault="00E37167" w:rsidP="0071531F">
      <w:pPr>
        <w:jc w:val="both"/>
      </w:pPr>
      <w:r>
        <w:t xml:space="preserve">Infine </w:t>
      </w:r>
      <w:r w:rsidR="00291CCC">
        <w:t>vogliamo richiamare</w:t>
      </w:r>
      <w:r>
        <w:t xml:space="preserve"> il contenuto della </w:t>
      </w:r>
      <w:r w:rsidR="000B28B3">
        <w:rPr>
          <w:b/>
          <w:bCs/>
        </w:rPr>
        <w:t>s</w:t>
      </w:r>
      <w:r w:rsidRPr="009B2FB5">
        <w:rPr>
          <w:b/>
          <w:bCs/>
        </w:rPr>
        <w:t xml:space="preserve">entenza n. 6830 </w:t>
      </w:r>
      <w:r w:rsidR="009B2FB5" w:rsidRPr="009B2FB5">
        <w:rPr>
          <w:b/>
          <w:bCs/>
        </w:rPr>
        <w:t>pubblicata il 14/03/2025</w:t>
      </w:r>
      <w:r>
        <w:t xml:space="preserve"> nella quale </w:t>
      </w:r>
      <w:r w:rsidR="00291CCC">
        <w:t>si precisa come</w:t>
      </w:r>
      <w:r>
        <w:t>:</w:t>
      </w:r>
      <w:r w:rsidR="00291CCC">
        <w:t xml:space="preserve"> </w:t>
      </w:r>
      <w:r w:rsidRPr="00E37167">
        <w:rPr>
          <w:i/>
          <w:iCs/>
        </w:rPr>
        <w:t>“</w:t>
      </w:r>
      <w:r w:rsidR="00291CCC">
        <w:rPr>
          <w:i/>
          <w:iCs/>
        </w:rPr>
        <w:t>…</w:t>
      </w:r>
      <w:r w:rsidRPr="00E37167">
        <w:rPr>
          <w:i/>
          <w:iCs/>
        </w:rPr>
        <w:t xml:space="preserve">risulta marginale e privo di decisività indagare la effettiva proprietà dell'infrastruttura autostradale </w:t>
      </w:r>
      <w:r w:rsidRPr="00E37167">
        <w:rPr>
          <w:i/>
          <w:iCs/>
        </w:rPr>
        <w:lastRenderedPageBreak/>
        <w:t>e dei pontoni che occupano per proiezione la strada provinciale sottostante, attesa la rilevanza dirimente della accertata ed indiscussa circostanza che la società ne disponeva per la gestione quale concessionaria ed in tal modo realizzava la condotta di "occupazione".</w:t>
      </w:r>
      <w:r>
        <w:rPr>
          <w:i/>
          <w:iCs/>
        </w:rPr>
        <w:t xml:space="preserve"> </w:t>
      </w:r>
      <w:r w:rsidRPr="00E37167">
        <w:rPr>
          <w:i/>
          <w:iCs/>
        </w:rPr>
        <w:t>Ben può essere condivisa, quindi, l'affermazione della Corte di appello secondo la quale l'obbligazione di pagamento del canone grava solo sul soggetto che occupa lo spazio pubblico in modo abusivo e di fatto, per avvalersene ai fini dell'attività d'impresa svolta.”</w:t>
      </w:r>
    </w:p>
    <w:p w14:paraId="107DB6D2" w14:textId="0CDF2052" w:rsidR="00E37167" w:rsidRDefault="00E37167" w:rsidP="0071531F">
      <w:pPr>
        <w:jc w:val="both"/>
        <w:rPr>
          <w:i/>
          <w:iCs/>
        </w:rPr>
      </w:pPr>
      <w:r>
        <w:t>I giudici sottolineano la necessità di rilevare la presenza del requisito soggettivo per godere dell’esenzione:</w:t>
      </w:r>
      <w:r w:rsidRPr="00E37167">
        <w:rPr>
          <w:i/>
          <w:iCs/>
        </w:rPr>
        <w:t xml:space="preserve"> “9. Va anche rammentato che lo svolgimento di un’attività strumentale alla realizzazione di un fine pubblico non è sufficiente a giustificare l’esenzione dalla COSAP in quanto le disposizioni normative sono chiare nell’indicare la necessaria presenza di un ulteriore presupposto ai fini dell’applicazione dell’esenzione, ovvero che il soggetto occupante sia lo Stato (Cass., sez. 1, 29/5/2023, n. 15010; Cass., n. 25614 del 2024).”</w:t>
      </w:r>
    </w:p>
    <w:p w14:paraId="5C612434" w14:textId="1FF420F6" w:rsidR="00E37167" w:rsidRDefault="00E37167" w:rsidP="0071531F">
      <w:pPr>
        <w:jc w:val="both"/>
      </w:pPr>
      <w:r>
        <w:t xml:space="preserve">In questo senso viene anche ricordata la </w:t>
      </w:r>
      <w:r w:rsidRPr="00E37167">
        <w:t xml:space="preserve">natura di stretta interpretazione delle norme </w:t>
      </w:r>
      <w:r w:rsidR="00291CCC">
        <w:t>fiscali</w:t>
      </w:r>
      <w:r w:rsidRPr="00E37167">
        <w:t xml:space="preserve"> che prevedano esenzioni o agevolazioni</w:t>
      </w:r>
      <w:r>
        <w:t>, che pertanto non possono essere traslate a diverso soggetto giuridico.</w:t>
      </w:r>
    </w:p>
    <w:p w14:paraId="283DDDE2" w14:textId="7443A65A" w:rsidR="00E37167" w:rsidRDefault="00E37167" w:rsidP="00E37167">
      <w:pPr>
        <w:jc w:val="both"/>
        <w:rPr>
          <w:i/>
          <w:iCs/>
        </w:rPr>
      </w:pPr>
      <w:r>
        <w:t xml:space="preserve">Vengono inequivocabilmente superate le motivazioni del Consiglio di Stato: </w:t>
      </w:r>
      <w:r w:rsidRPr="00E37167">
        <w:rPr>
          <w:i/>
          <w:iCs/>
        </w:rPr>
        <w:t xml:space="preserve">“11. </w:t>
      </w:r>
      <w:r w:rsidRPr="005B12D7">
        <w:rPr>
          <w:i/>
          <w:iCs/>
          <w:u w:val="single"/>
        </w:rPr>
        <w:t>Le sentenze amministrative citate dalla ricorrente non sono in grado di travolgere l’indirizzo giurisprudenziale di legittimità ormai consolidato</w:t>
      </w:r>
      <w:r w:rsidRPr="00E37167">
        <w:rPr>
          <w:i/>
          <w:iCs/>
        </w:rPr>
        <w:t xml:space="preserve"> (Cass., sez. 1, 18 aprile 2023, n. 10351; Cass., n. 25614 del 2024). 12. Non è dirimente la dedotta assenza di poteri di rimozione o di riappropriazione del bene da parte del Comune, poiché tale limite non vale ad escludere l’imposizione fiscale, semmai a confermarla, in ragione della perdurante occupazione (Cass. sez. 5, n. 15162 del 2024).”</w:t>
      </w:r>
    </w:p>
    <w:p w14:paraId="757EAB3C" w14:textId="0D6C84B1" w:rsidR="005B12D7" w:rsidRDefault="005B12D7" w:rsidP="00E37167">
      <w:pPr>
        <w:jc w:val="both"/>
        <w:rPr>
          <w:i/>
          <w:iCs/>
        </w:rPr>
      </w:pPr>
      <w:r>
        <w:t xml:space="preserve">Prosegue: </w:t>
      </w:r>
      <w:r w:rsidRPr="005B12D7">
        <w:rPr>
          <w:i/>
          <w:iCs/>
        </w:rPr>
        <w:t>“12.1. Inoltre, si è già chiarito (Cass., sez. 1, 25/7/2024, n. 20708) che le citate pronunce del Consiglio di Stato, che, peraltro, non si confrontano con l'ormai consolidato indirizzo di questa Corte di cui si è dato conto, offrono una lettura ermeneutica del "combinato disposto" delle norme in discussione non rispondente al dettato complessivo della stessa disciplina nei termini precisati e non rispettosa dei suesposti principi, oltre che</w:t>
      </w:r>
      <w:r>
        <w:rPr>
          <w:i/>
          <w:iCs/>
        </w:rPr>
        <w:t xml:space="preserve"> </w:t>
      </w:r>
      <w:r w:rsidRPr="005B12D7">
        <w:rPr>
          <w:i/>
          <w:iCs/>
        </w:rPr>
        <w:t>contrastante con il tenore letterale delle previsioni del regolamento cosap ora in esame. In particolare, come si è rimarcato, l'elemento scriminante, che consente di escludere l'assoggettamento al cosap, è l'occupazione dello spazio dell'ente locale posta in essere direttamente dal soggetto esente, il che incontrovertibilmente non è nella specie.</w:t>
      </w:r>
      <w:r>
        <w:rPr>
          <w:i/>
          <w:iCs/>
        </w:rPr>
        <w:t>”</w:t>
      </w:r>
    </w:p>
    <w:p w14:paraId="6FCFAE38" w14:textId="153B7DE4" w:rsidR="005B12D7" w:rsidRDefault="005B12D7" w:rsidP="00E37167">
      <w:pPr>
        <w:jc w:val="both"/>
      </w:pPr>
      <w:r>
        <w:t xml:space="preserve">In conclusione possiamo </w:t>
      </w:r>
      <w:r w:rsidR="00B96B85">
        <w:t xml:space="preserve">pacificamente </w:t>
      </w:r>
      <w:r>
        <w:t xml:space="preserve">affermare </w:t>
      </w:r>
      <w:r w:rsidR="00FE5062">
        <w:t>che</w:t>
      </w:r>
      <w:r>
        <w:t xml:space="preserve"> la Corte di Cassazione non </w:t>
      </w:r>
      <w:r w:rsidR="00FE5062">
        <w:t>ha</w:t>
      </w:r>
      <w:r>
        <w:t xml:space="preserve"> </w:t>
      </w:r>
      <w:r w:rsidR="00291CCC">
        <w:t xml:space="preserve">affatto </w:t>
      </w:r>
      <w:r>
        <w:t>modificato il proprio orientamento</w:t>
      </w:r>
      <w:r w:rsidR="00FE5062">
        <w:t>,</w:t>
      </w:r>
      <w:r>
        <w:t xml:space="preserve"> già formato</w:t>
      </w:r>
      <w:r w:rsidR="00B96B85">
        <w:t>si</w:t>
      </w:r>
      <w:r>
        <w:t xml:space="preserve"> nel corso degli </w:t>
      </w:r>
      <w:r w:rsidR="00C82372">
        <w:t>anni in</w:t>
      </w:r>
      <w:r>
        <w:t xml:space="preserve"> sede di ricorsi </w:t>
      </w:r>
      <w:r w:rsidR="00B96B85">
        <w:t xml:space="preserve">radicati innanzi </w:t>
      </w:r>
      <w:r w:rsidR="00FE5062">
        <w:t>a</w:t>
      </w:r>
      <w:r>
        <w:t xml:space="preserve"> Corti Tributarie e Tribunali Ordinari, nonostante alcune sentenze di Consiglio di Stato nelle quali i giudici amministrativi, non confrontandosi con l’orientamento già assunto </w:t>
      </w:r>
      <w:r w:rsidR="00F03567">
        <w:t xml:space="preserve">in passato </w:t>
      </w:r>
      <w:r>
        <w:t xml:space="preserve">dalla stessa Cassazione, aveva accolto i ricorsi </w:t>
      </w:r>
      <w:r w:rsidR="00B96B85">
        <w:t xml:space="preserve">proposti </w:t>
      </w:r>
      <w:r>
        <w:t>d</w:t>
      </w:r>
      <w:r w:rsidR="00B96B85">
        <w:t>a</w:t>
      </w:r>
      <w:r>
        <w:t>lle concessionarie autostradali.</w:t>
      </w:r>
    </w:p>
    <w:p w14:paraId="1AF05561" w14:textId="4AD23E96" w:rsidR="005B12D7" w:rsidRPr="005B12D7" w:rsidRDefault="00C82372" w:rsidP="00E37167">
      <w:pPr>
        <w:jc w:val="both"/>
      </w:pPr>
      <w:r>
        <w:t>La</w:t>
      </w:r>
      <w:r w:rsidR="005B12D7">
        <w:t xml:space="preserve"> Corte di Cassazione con diverse </w:t>
      </w:r>
      <w:r w:rsidR="00B96B85">
        <w:t xml:space="preserve">recenti </w:t>
      </w:r>
      <w:r w:rsidR="005B12D7">
        <w:t>sentenze</w:t>
      </w:r>
      <w:r w:rsidR="00B96B85">
        <w:t>,</w:t>
      </w:r>
      <w:r w:rsidR="005B12D7">
        <w:t xml:space="preserve"> alcune delle quali </w:t>
      </w:r>
      <w:r w:rsidR="00F03567">
        <w:t>richiamate nel</w:t>
      </w:r>
      <w:r w:rsidR="005B12D7">
        <w:t>l’odierno approfondimento,</w:t>
      </w:r>
      <w:r>
        <w:t xml:space="preserve"> ha confermato</w:t>
      </w:r>
      <w:r w:rsidR="000B28B3">
        <w:t xml:space="preserve"> e consolidato</w:t>
      </w:r>
      <w:r w:rsidR="00F03567">
        <w:t xml:space="preserve"> </w:t>
      </w:r>
      <w:r w:rsidR="000B28B3">
        <w:t xml:space="preserve">il proprio </w:t>
      </w:r>
      <w:r>
        <w:t xml:space="preserve">orientamento che vuole le occupazioni </w:t>
      </w:r>
      <w:r w:rsidR="00B96B85">
        <w:t xml:space="preserve">di soprassuolo </w:t>
      </w:r>
      <w:r>
        <w:t>realizzate con i viadotti</w:t>
      </w:r>
      <w:r w:rsidR="00B96B85">
        <w:t>,</w:t>
      </w:r>
      <w:r>
        <w:t xml:space="preserve"> come soggette al prelievo dedicato al presupposto del suolo pubblico</w:t>
      </w:r>
      <w:r w:rsidR="000B28B3">
        <w:t xml:space="preserve"> (</w:t>
      </w:r>
      <w:r>
        <w:t xml:space="preserve">TOSAP, COSAP </w:t>
      </w:r>
      <w:r w:rsidR="000B28B3">
        <w:t>fino al 2020 e l</w:t>
      </w:r>
      <w:r>
        <w:t>’attuale CUP</w:t>
      </w:r>
      <w:r w:rsidR="000B28B3">
        <w:t xml:space="preserve"> dal 2021)</w:t>
      </w:r>
      <w:r>
        <w:t xml:space="preserve">, con buona pace delle concessionarie autostradali che </w:t>
      </w:r>
      <w:r w:rsidR="00B96B85">
        <w:t xml:space="preserve">avevano </w:t>
      </w:r>
      <w:r w:rsidR="00427CD7">
        <w:t>adottato</w:t>
      </w:r>
      <w:r w:rsidR="00B96B85">
        <w:t xml:space="preserve"> un cambio di strategia difensiva </w:t>
      </w:r>
      <w:r w:rsidR="00F03567">
        <w:t>affidando</w:t>
      </w:r>
      <w:r w:rsidR="00B96B85">
        <w:t xml:space="preserve"> i </w:t>
      </w:r>
      <w:r w:rsidR="00F03567">
        <w:t>propri ricorsi</w:t>
      </w:r>
      <w:r w:rsidR="00B96B85">
        <w:t xml:space="preserve"> </w:t>
      </w:r>
      <w:r w:rsidR="00F03567">
        <w:t>alla</w:t>
      </w:r>
      <w:r w:rsidR="00B96B85">
        <w:t xml:space="preserve"> giustizia amministrativa.</w:t>
      </w:r>
      <w:r>
        <w:t xml:space="preserve"> </w:t>
      </w:r>
    </w:p>
    <w:sectPr w:rsidR="005B12D7" w:rsidRPr="005B12D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5C"/>
    <w:rsid w:val="00053881"/>
    <w:rsid w:val="00060149"/>
    <w:rsid w:val="00061F45"/>
    <w:rsid w:val="000B28B3"/>
    <w:rsid w:val="000B4EA0"/>
    <w:rsid w:val="00165223"/>
    <w:rsid w:val="001D69BA"/>
    <w:rsid w:val="001E1E80"/>
    <w:rsid w:val="00234971"/>
    <w:rsid w:val="00245C90"/>
    <w:rsid w:val="00250A31"/>
    <w:rsid w:val="0026326F"/>
    <w:rsid w:val="00264AEE"/>
    <w:rsid w:val="00285772"/>
    <w:rsid w:val="00291CCC"/>
    <w:rsid w:val="00323286"/>
    <w:rsid w:val="0035091B"/>
    <w:rsid w:val="003B445E"/>
    <w:rsid w:val="003C3CBC"/>
    <w:rsid w:val="00427CD7"/>
    <w:rsid w:val="004A6A50"/>
    <w:rsid w:val="004E7001"/>
    <w:rsid w:val="005A38FB"/>
    <w:rsid w:val="005B12D7"/>
    <w:rsid w:val="00666D7F"/>
    <w:rsid w:val="00706451"/>
    <w:rsid w:val="0071531F"/>
    <w:rsid w:val="0076245B"/>
    <w:rsid w:val="007B1496"/>
    <w:rsid w:val="0081019D"/>
    <w:rsid w:val="00901AD8"/>
    <w:rsid w:val="00973219"/>
    <w:rsid w:val="009A55D8"/>
    <w:rsid w:val="009B2FB5"/>
    <w:rsid w:val="00A96FDF"/>
    <w:rsid w:val="00AC03E5"/>
    <w:rsid w:val="00B43FEC"/>
    <w:rsid w:val="00B96B85"/>
    <w:rsid w:val="00BC6EDB"/>
    <w:rsid w:val="00BE4D9E"/>
    <w:rsid w:val="00C52A69"/>
    <w:rsid w:val="00C82372"/>
    <w:rsid w:val="00D75582"/>
    <w:rsid w:val="00DD243C"/>
    <w:rsid w:val="00DE4E80"/>
    <w:rsid w:val="00DF0863"/>
    <w:rsid w:val="00E37167"/>
    <w:rsid w:val="00E56FC1"/>
    <w:rsid w:val="00F03567"/>
    <w:rsid w:val="00F04E4D"/>
    <w:rsid w:val="00F67C6C"/>
    <w:rsid w:val="00FB5F5C"/>
    <w:rsid w:val="00FC6370"/>
    <w:rsid w:val="00FE506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CBA2"/>
  <w15:chartTrackingRefBased/>
  <w15:docId w15:val="{364B7B00-1B34-4004-B6CC-454C5826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B5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B5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B5F5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B5F5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B5F5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B5F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B5F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B5F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B5F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B5F5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B5F5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B5F5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B5F5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B5F5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B5F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B5F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B5F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B5F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B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B5F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B5F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B5F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B5F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B5F5C"/>
    <w:rPr>
      <w:i/>
      <w:iCs/>
      <w:color w:val="404040" w:themeColor="text1" w:themeTint="BF"/>
    </w:rPr>
  </w:style>
  <w:style w:type="paragraph" w:styleId="Paragrafoelenco">
    <w:name w:val="List Paragraph"/>
    <w:basedOn w:val="Normale"/>
    <w:uiPriority w:val="34"/>
    <w:qFormat/>
    <w:rsid w:val="00FB5F5C"/>
    <w:pPr>
      <w:ind w:left="720"/>
      <w:contextualSpacing/>
    </w:pPr>
  </w:style>
  <w:style w:type="character" w:styleId="Enfasiintensa">
    <w:name w:val="Intense Emphasis"/>
    <w:basedOn w:val="Carpredefinitoparagrafo"/>
    <w:uiPriority w:val="21"/>
    <w:qFormat/>
    <w:rsid w:val="00FB5F5C"/>
    <w:rPr>
      <w:i/>
      <w:iCs/>
      <w:color w:val="2F5496" w:themeColor="accent1" w:themeShade="BF"/>
    </w:rPr>
  </w:style>
  <w:style w:type="paragraph" w:styleId="Citazioneintensa">
    <w:name w:val="Intense Quote"/>
    <w:basedOn w:val="Normale"/>
    <w:next w:val="Normale"/>
    <w:link w:val="CitazioneintensaCarattere"/>
    <w:uiPriority w:val="30"/>
    <w:qFormat/>
    <w:rsid w:val="00FB5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B5F5C"/>
    <w:rPr>
      <w:i/>
      <w:iCs/>
      <w:color w:val="2F5496" w:themeColor="accent1" w:themeShade="BF"/>
    </w:rPr>
  </w:style>
  <w:style w:type="character" w:styleId="Riferimentointenso">
    <w:name w:val="Intense Reference"/>
    <w:basedOn w:val="Carpredefinitoparagrafo"/>
    <w:uiPriority w:val="32"/>
    <w:qFormat/>
    <w:rsid w:val="00FB5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3</Pages>
  <Words>1827</Words>
  <Characters>10415</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11</cp:revision>
  <dcterms:created xsi:type="dcterms:W3CDTF">2025-06-06T10:55:00Z</dcterms:created>
  <dcterms:modified xsi:type="dcterms:W3CDTF">2025-06-10T15:20:00Z</dcterms:modified>
</cp:coreProperties>
</file>