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F21C" w14:textId="3E4A3DE2" w:rsidR="00E90910" w:rsidRDefault="00E90910" w:rsidP="00A11EE8">
      <w:pPr>
        <w:jc w:val="both"/>
      </w:pPr>
      <w:r>
        <w:t xml:space="preserve">Titolo: La </w:t>
      </w:r>
      <w:r w:rsidR="00F43A5C">
        <w:t>C</w:t>
      </w:r>
      <w:r>
        <w:t xml:space="preserve">orte d’Appello di Venezia torna sul pagamento CUP a carico del </w:t>
      </w:r>
      <w:r w:rsidRPr="00E90910">
        <w:t>gestore del servizio idrico</w:t>
      </w:r>
    </w:p>
    <w:p w14:paraId="0249667A" w14:textId="77777777" w:rsidR="00E90910" w:rsidRDefault="00E90910">
      <w:r>
        <w:t>Di Alessandro Merciari</w:t>
      </w:r>
    </w:p>
    <w:p w14:paraId="0EAA193A" w14:textId="5FD2E6E2" w:rsidR="00060149" w:rsidRDefault="00E90910" w:rsidP="00E90910">
      <w:pPr>
        <w:jc w:val="both"/>
      </w:pPr>
      <w:r>
        <w:t xml:space="preserve">Nell’ambito dei servizi </w:t>
      </w:r>
      <w:r w:rsidR="00871AAB">
        <w:t>pubblici si era diffusa la convinzione</w:t>
      </w:r>
      <w:r w:rsidRPr="00E90910">
        <w:t xml:space="preserve"> </w:t>
      </w:r>
      <w:r w:rsidR="00871AAB">
        <w:t>che</w:t>
      </w:r>
      <w:r>
        <w:t xml:space="preserve"> </w:t>
      </w:r>
      <w:r w:rsidRPr="00E90910">
        <w:t>i soggetti che gestiscono le reti</w:t>
      </w:r>
      <w:r w:rsidR="00871AAB">
        <w:t xml:space="preserve"> per l’</w:t>
      </w:r>
      <w:r w:rsidR="00871AAB" w:rsidRPr="00E90910">
        <w:t>erogazione di acqua potabile e acque reflue</w:t>
      </w:r>
      <w:r w:rsidRPr="00E90910">
        <w:t>,</w:t>
      </w:r>
      <w:r w:rsidR="00871AAB">
        <w:t xml:space="preserve"> fossero esclusi dal</w:t>
      </w:r>
      <w:r w:rsidR="00A86ACF">
        <w:t xml:space="preserve"> pagamento del</w:t>
      </w:r>
      <w:r w:rsidR="00871AAB">
        <w:t xml:space="preserve"> Canone Unico, e prima ancora di TOSAP e COSAP,</w:t>
      </w:r>
      <w:r w:rsidRPr="00E90910">
        <w:t xml:space="preserve"> </w:t>
      </w:r>
      <w:r w:rsidR="00871AAB">
        <w:t>per effetto di</w:t>
      </w:r>
      <w:r w:rsidRPr="00E90910">
        <w:t xml:space="preserve"> requisiti soggettivi e oggettivi che </w:t>
      </w:r>
      <w:r w:rsidR="00871AAB">
        <w:t>avrebbero garantito</w:t>
      </w:r>
      <w:r w:rsidRPr="00E90910">
        <w:t xml:space="preserve"> loro l’esenzione</w:t>
      </w:r>
      <w:r>
        <w:t xml:space="preserve"> dal pagamento dello speciale Canone previsto per le occupazioni permanenti realizzate con cavi e condutture</w:t>
      </w:r>
      <w:r w:rsidRPr="00E90910">
        <w:t xml:space="preserve">. </w:t>
      </w:r>
      <w:r w:rsidR="00A86ACF">
        <w:t xml:space="preserve">Così che molte società hanno da sempre omesso di dichiarare e versare il canone al 30 aprile di ciascun anno. </w:t>
      </w:r>
      <w:r>
        <w:t>In realtà</w:t>
      </w:r>
      <w:r w:rsidRPr="00E90910">
        <w:t xml:space="preserve">, </w:t>
      </w:r>
      <w:r>
        <w:t>anche in questo particolare settore</w:t>
      </w:r>
      <w:r w:rsidR="00F43A5C">
        <w:t>,</w:t>
      </w:r>
      <w:r>
        <w:t xml:space="preserve"> </w:t>
      </w:r>
      <w:r w:rsidRPr="00E90910">
        <w:t>le società in qualunque forma giuridica organizzate che si occupano dell'erogazione e della depurazione delle acque, e che gestiscono l'intero ciclo idrico</w:t>
      </w:r>
      <w:r w:rsidR="00871AAB">
        <w:t xml:space="preserve"> integrato</w:t>
      </w:r>
      <w:r w:rsidRPr="00E90910">
        <w:t xml:space="preserve"> in convenzione con l’Autorità d’Ambito Territoriale competente, devono considerarsi sempre, e in ogni caso, soggetti passivi del Canone, così come vuole lo stesso comma 831</w:t>
      </w:r>
      <w:r w:rsidR="00A86ACF">
        <w:t>, e per questo gli enti locali beneficiari, Comuni e Province, sono chiamati ad attivare le procedure di recupero per le ingenti somme loro spettanti non corrisposte dai gestori. Il problema è diffuso, da nord a sud, sono molte le società che non pagano il canone per i servizi di rete. Fenomeno particolarmente evidente nel settore idrico così come in quello delle telecomunicazioni caratterizzato da problemi legati alla corretta interpretazione della cosiddetta soggettività passiva in via mediata.</w:t>
      </w:r>
    </w:p>
    <w:p w14:paraId="07F4B7FA" w14:textId="639ECC7E" w:rsidR="00777819" w:rsidRDefault="00A86ACF" w:rsidP="00777819">
      <w:pPr>
        <w:jc w:val="both"/>
      </w:pPr>
      <w:r>
        <w:t>I</w:t>
      </w:r>
      <w:r w:rsidR="00777819" w:rsidRPr="00777819">
        <w:t xml:space="preserve"> servizi </w:t>
      </w:r>
      <w:r>
        <w:t xml:space="preserve">idrici </w:t>
      </w:r>
      <w:r w:rsidR="00777819" w:rsidRPr="00777819">
        <w:t>oggi sono organizzati all'interno dei 62 ambiti territoriali ottimali (ATO), che le Regioni hanno perimetrato sulla base delle regole contenute nel Codice dell'Ambiente (</w:t>
      </w:r>
      <w:proofErr w:type="spellStart"/>
      <w:r w:rsidR="00777819" w:rsidRPr="00777819">
        <w:t>D.Lgs.</w:t>
      </w:r>
      <w:proofErr w:type="spellEnd"/>
      <w:r w:rsidR="00777819" w:rsidRPr="00777819">
        <w:t xml:space="preserve"> 3 aprile 2006, n. 152).</w:t>
      </w:r>
      <w:r w:rsidR="00871AAB">
        <w:t xml:space="preserve"> </w:t>
      </w:r>
      <w:r w:rsidR="00777819" w:rsidRPr="00777819">
        <w:t xml:space="preserve">I gestori del </w:t>
      </w:r>
      <w:r>
        <w:t>SII - S</w:t>
      </w:r>
      <w:r w:rsidR="00777819" w:rsidRPr="00777819">
        <w:t xml:space="preserve">ervizio </w:t>
      </w:r>
      <w:r>
        <w:t>I</w:t>
      </w:r>
      <w:r w:rsidR="00777819" w:rsidRPr="00777819">
        <w:t xml:space="preserve">drico </w:t>
      </w:r>
      <w:r>
        <w:t>I</w:t>
      </w:r>
      <w:r w:rsidR="00777819" w:rsidRPr="00777819">
        <w:t>ntegrato (comprensivo di acquedotto, fognatura e depurazione) sono censiti dall’Autorità di Regolazione per Energia Reti e Ambiente (ARERA) e ad oggi sono rappresentati da 233 società. Tra queste sono 48 quelle che servono una popolazione di almeno 200.000 abitanti di cui 11 in particolare gestiscono una rete che serve oltre un milione di abitanti.</w:t>
      </w:r>
    </w:p>
    <w:p w14:paraId="0BD7286D" w14:textId="6E414DA1" w:rsidR="00777819" w:rsidRDefault="00777819" w:rsidP="00777819">
      <w:pPr>
        <w:jc w:val="both"/>
      </w:pPr>
      <w:r w:rsidRPr="00777819">
        <w:t xml:space="preserve">Con riferimento al tipo di governance troviamo in prevalenza società organizzate in-house </w:t>
      </w:r>
      <w:proofErr w:type="spellStart"/>
      <w:r w:rsidRPr="00777819">
        <w:t>providing</w:t>
      </w:r>
      <w:proofErr w:type="spellEnd"/>
      <w:r w:rsidRPr="00777819">
        <w:t>, ovvero gestori con partecipazione pubblica al 100% i cui soci sono gli stessi enti locali serviti. Nel panorama delle aziende troviamo anche alcune società quotate con gestori facenti parte di gruppi societari, a capitale privato o misto, che ricorrono ai mercati regolamentati per finanziarsi (nello specifico, A2A, ACEA, HERA e IREN) oltre ad alcune società a capitale interamente privato.</w:t>
      </w:r>
    </w:p>
    <w:p w14:paraId="0FA0498A" w14:textId="5A4C077B" w:rsidR="00777819" w:rsidRDefault="00777819" w:rsidP="00777819">
      <w:pPr>
        <w:jc w:val="both"/>
      </w:pPr>
      <w:r w:rsidRPr="00777819">
        <w:t>Come abbiamo più volte evidenziato, anche le aziende municipalizzate, o società a partecipazione pubblica, sono soggetti passivi d’imposta per quanto riguarda gli stessi tributi che sono di norma applicabili alle attività economiche di tipo imprenditoriale. La loro natura giuridica, pur essendo di diritto pubblico, non esclude pertanto la loro assunzione di responsabilità fiscale, così da essere assoggettate a imposte dirette e indirette. In sostanza non godono in nessuna situazione di uno speciale trattamento per effetto di requisiti soggettivi propri.</w:t>
      </w:r>
    </w:p>
    <w:p w14:paraId="6A09D0E0" w14:textId="34F972EC" w:rsidR="00777819" w:rsidRDefault="00777819" w:rsidP="00777819">
      <w:pPr>
        <w:jc w:val="both"/>
      </w:pPr>
      <w:r>
        <w:t>A riconferma della non estraneità al Canone per i servizi di rete di tutte le società che gestiscono il servizio idrico integrato, comprese quelle municipalizzate e quelle a totale partecipazione pubblica, troviamo una nuova sentenza della Corte d’Appello di Venezia che si è espressa su un contenzioso curato in primo grado dal Tribunale di Rovigo</w:t>
      </w:r>
      <w:r w:rsidR="00F46E60">
        <w:t>.</w:t>
      </w:r>
    </w:p>
    <w:p w14:paraId="7045F38F" w14:textId="34975AF1" w:rsidR="00F46E60" w:rsidRDefault="00F46E60" w:rsidP="00777819">
      <w:pPr>
        <w:jc w:val="both"/>
      </w:pPr>
      <w:r>
        <w:t xml:space="preserve">Con la sentenza numero 84 del 9 marzo 2026, la Sezione II della Corte d’Appello di Venezia rigetta l’appello proposto dal gestore del </w:t>
      </w:r>
      <w:r w:rsidRPr="00F46E60">
        <w:t>SII nell’Ambito Territoriale Ottimale Polesine</w:t>
      </w:r>
      <w:r>
        <w:t>, società</w:t>
      </w:r>
      <w:r w:rsidRPr="00F46E60">
        <w:t xml:space="preserve"> in house </w:t>
      </w:r>
      <w:proofErr w:type="spellStart"/>
      <w:r w:rsidRPr="00F46E60">
        <w:t>providing</w:t>
      </w:r>
      <w:proofErr w:type="spellEnd"/>
      <w:r w:rsidRPr="00F46E60">
        <w:t xml:space="preserve"> controllata </w:t>
      </w:r>
      <w:r>
        <w:t xml:space="preserve">al </w:t>
      </w:r>
      <w:r w:rsidRPr="00F46E60">
        <w:t>100%</w:t>
      </w:r>
      <w:r>
        <w:t xml:space="preserve"> </w:t>
      </w:r>
      <w:r w:rsidRPr="00F46E60">
        <w:t>dai Comuni soci per i quali svolge il servizio</w:t>
      </w:r>
      <w:r>
        <w:t>.</w:t>
      </w:r>
    </w:p>
    <w:p w14:paraId="6BD01349" w14:textId="11CE9890" w:rsidR="00F46E60" w:rsidRDefault="00F46E60" w:rsidP="00777819">
      <w:pPr>
        <w:jc w:val="both"/>
      </w:pPr>
      <w:r>
        <w:t>I giudici analizzano i motivi di appello basati sostanzialmente su due aspetti:</w:t>
      </w:r>
    </w:p>
    <w:p w14:paraId="21DB2275" w14:textId="7BF9D75E" w:rsidR="00F46E60" w:rsidRDefault="00F46E60" w:rsidP="00777819">
      <w:pPr>
        <w:jc w:val="both"/>
      </w:pPr>
      <w:r>
        <w:t xml:space="preserve">1) </w:t>
      </w:r>
      <w:r w:rsidR="00C334FA">
        <w:t xml:space="preserve">dichiarata </w:t>
      </w:r>
      <w:r>
        <w:t>presenza di requisiti soggettivi che porterebbero all’esenzione dal pagamento dello speciale canone disciplinato al comma 831 della Legge 160/2019 per effetto della lettera A del successivo comma 833.</w:t>
      </w:r>
    </w:p>
    <w:p w14:paraId="3E7F19AA" w14:textId="3D434829" w:rsidR="00F46E60" w:rsidRDefault="00F46E60" w:rsidP="00777819">
      <w:pPr>
        <w:jc w:val="both"/>
      </w:pPr>
      <w:r>
        <w:lastRenderedPageBreak/>
        <w:t xml:space="preserve">2) </w:t>
      </w:r>
      <w:r w:rsidR="00C334FA">
        <w:t xml:space="preserve">dichiarata </w:t>
      </w:r>
      <w:r>
        <w:t>presenza di requisiti oggettivi che porterebbero all’esenzione dal pagamento dello speciale canone disciplinato al comma 831 della Legge 160/2019 per effetto della lettera D del successivo comma 833.</w:t>
      </w:r>
    </w:p>
    <w:p w14:paraId="042CC3DD" w14:textId="22F14BE8" w:rsidR="00C334FA" w:rsidRDefault="00C334FA" w:rsidP="00DF6576">
      <w:pPr>
        <w:jc w:val="both"/>
      </w:pPr>
      <w:r>
        <w:t xml:space="preserve">Per la Corte l’appello è infondato. Preliminarmente i giudici chiariscono come il ricorso afferisce l’annualità 2020 così che l’entrata di riferimento è individuata nel COSAP, adottato dal Comune come scelta alternativa alla TOSAP grazie al disposto del </w:t>
      </w:r>
      <w:r w:rsidRPr="00C334FA">
        <w:t>d.lgs. 15 dicembre 1997, n. 446</w:t>
      </w:r>
      <w:r>
        <w:t xml:space="preserve">. Nel </w:t>
      </w:r>
      <w:r w:rsidR="00803F1D">
        <w:t>R</w:t>
      </w:r>
      <w:r>
        <w:t>egolamento Comun</w:t>
      </w:r>
      <w:r w:rsidR="00803F1D">
        <w:t>ale</w:t>
      </w:r>
      <w:r>
        <w:t xml:space="preserve"> vengono riprese le esenzioni soggettive e oggettive già disciplinate dal Legislatore in materia di TOSAP, oggi </w:t>
      </w:r>
      <w:r w:rsidR="00803F1D">
        <w:t xml:space="preserve">perfettamente </w:t>
      </w:r>
      <w:r>
        <w:t xml:space="preserve">confluite </w:t>
      </w:r>
      <w:r w:rsidR="00803F1D">
        <w:t xml:space="preserve">e replicate </w:t>
      </w:r>
      <w:r>
        <w:t>nella disciplina CUP</w:t>
      </w:r>
      <w:r w:rsidR="00803F1D">
        <w:t xml:space="preserve">. Ecco quindi che i presupposti normativi sui quali viene analizzata la controversia è replicabile sia che si parli di disciplina TOSAP o COSAP che quella CUP. </w:t>
      </w:r>
    </w:p>
    <w:p w14:paraId="0B628713" w14:textId="172F8CE8" w:rsidR="00DF6576" w:rsidRPr="008B6595" w:rsidRDefault="00803F1D" w:rsidP="00DF6576">
      <w:pPr>
        <w:jc w:val="both"/>
        <w:rPr>
          <w:i/>
          <w:iCs/>
        </w:rPr>
      </w:pPr>
      <w:r>
        <w:t xml:space="preserve">In particolare i giudici, </w:t>
      </w:r>
      <w:r w:rsidR="00C334FA">
        <w:t>i</w:t>
      </w:r>
      <w:r w:rsidR="00F46E60">
        <w:t>n riferimento al punto 1</w:t>
      </w:r>
      <w:r w:rsidR="00C334FA">
        <w:t>, dispongono che l’esenzione on opera nel caso di specie</w:t>
      </w:r>
      <w:r w:rsidR="00F46E60">
        <w:t>:</w:t>
      </w:r>
      <w:r w:rsidR="00C334FA">
        <w:t xml:space="preserve"> </w:t>
      </w:r>
      <w:r w:rsidR="00DF6576" w:rsidRPr="008B6595">
        <w:rPr>
          <w:i/>
          <w:iCs/>
        </w:rPr>
        <w:t>“L’esenzione soggettiva di cui all’art. 16 lett.</w:t>
      </w:r>
      <w:r w:rsidR="00F43A5C" w:rsidRPr="008B6595">
        <w:rPr>
          <w:i/>
          <w:iCs/>
        </w:rPr>
        <w:t xml:space="preserve"> </w:t>
      </w:r>
      <w:r w:rsidR="00DF6576" w:rsidRPr="008B6595">
        <w:rPr>
          <w:i/>
          <w:iCs/>
        </w:rPr>
        <w:t xml:space="preserve">c) regolamento COSAP non opera nel caso di specie. Ai fini dell’esenzione, infatti, rileva unicamente la qualità soggettiva dell’ente e l’esenzione postula che l’occupazione sia fatta proprio da un soggetto esente tra quelli tassativamente individuati dalla norma ovvero Stato, Province, Comuni e loro consorzi, da enti religiosi ed enti pubblici per le finalità ivi previste. </w:t>
      </w:r>
    </w:p>
    <w:p w14:paraId="3F76899F" w14:textId="44F47110" w:rsidR="00DF6576" w:rsidRPr="008B6595" w:rsidRDefault="00DF6576" w:rsidP="00DF6576">
      <w:pPr>
        <w:jc w:val="both"/>
        <w:rPr>
          <w:i/>
          <w:iCs/>
        </w:rPr>
      </w:pPr>
      <w:r w:rsidRPr="008B6595">
        <w:rPr>
          <w:i/>
          <w:iCs/>
        </w:rPr>
        <w:t>Trattandosi di esenzione, l’ipotesi è di stretta interpretazione (in tal senso è pacifica la Cassazione formatasi in relazione alla analoga fattispecie prevista dall’art. 49 co. 1 A d.lgs. 507/1993, cfr.</w:t>
      </w:r>
      <w:r w:rsidR="00F43A5C" w:rsidRPr="008B6595">
        <w:rPr>
          <w:i/>
          <w:iCs/>
        </w:rPr>
        <w:t xml:space="preserve"> </w:t>
      </w:r>
      <w:r w:rsidRPr="008B6595">
        <w:rPr>
          <w:i/>
          <w:iCs/>
        </w:rPr>
        <w:t>da ultimo Cass.</w:t>
      </w:r>
      <w:r w:rsidR="00F43A5C" w:rsidRPr="008B6595">
        <w:rPr>
          <w:i/>
          <w:iCs/>
        </w:rPr>
        <w:t xml:space="preserve"> </w:t>
      </w:r>
      <w:r w:rsidRPr="008B6595">
        <w:rPr>
          <w:i/>
          <w:iCs/>
        </w:rPr>
        <w:t xml:space="preserve">sez. </w:t>
      </w:r>
      <w:proofErr w:type="spellStart"/>
      <w:r w:rsidRPr="008B6595">
        <w:rPr>
          <w:i/>
          <w:iCs/>
        </w:rPr>
        <w:t>trib</w:t>
      </w:r>
      <w:proofErr w:type="spellEnd"/>
      <w:r w:rsidRPr="008B6595">
        <w:rPr>
          <w:i/>
          <w:iCs/>
        </w:rPr>
        <w:t xml:space="preserve">. n.3328 del 10/02/2025)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(Cass. sez. </w:t>
      </w:r>
      <w:proofErr w:type="spellStart"/>
      <w:r w:rsidRPr="008B6595">
        <w:rPr>
          <w:i/>
          <w:iCs/>
        </w:rPr>
        <w:t>trib</w:t>
      </w:r>
      <w:proofErr w:type="spellEnd"/>
      <w:r w:rsidRPr="008B6595">
        <w:rPr>
          <w:i/>
          <w:iCs/>
        </w:rPr>
        <w:t xml:space="preserve">. n.3636 del 12/02/2025; sez. </w:t>
      </w:r>
      <w:proofErr w:type="spellStart"/>
      <w:r w:rsidRPr="008B6595">
        <w:rPr>
          <w:i/>
          <w:iCs/>
        </w:rPr>
        <w:t>trib</w:t>
      </w:r>
      <w:proofErr w:type="spellEnd"/>
      <w:r w:rsidRPr="008B6595">
        <w:rPr>
          <w:i/>
          <w:iCs/>
        </w:rPr>
        <w:t>. n.34267 del 24/12/2024) e, dunque, non si configura l'occupazione diretta "da parte del comune" quale soggetto ex lege esente.”</w:t>
      </w:r>
    </w:p>
    <w:p w14:paraId="6DBB1558" w14:textId="49FABC72" w:rsidR="00DF6576" w:rsidRDefault="00C334FA" w:rsidP="00DF6576">
      <w:pPr>
        <w:jc w:val="both"/>
        <w:rPr>
          <w:i/>
          <w:iCs/>
          <w:sz w:val="24"/>
          <w:szCs w:val="24"/>
        </w:rPr>
      </w:pPr>
      <w:r>
        <w:t>Per la Corte è infondato anche il secondo motivo di appello, legato a presunti requisiti oggettivi che porterebbero a ritenere esenti le occupazioni in base al disposto della lettera D del comma 833 della Legge 160/2019.</w:t>
      </w:r>
    </w:p>
    <w:p w14:paraId="1CFBD20D" w14:textId="316A8908" w:rsidR="00DF6576" w:rsidRPr="00803F1D" w:rsidRDefault="00803F1D" w:rsidP="00803F1D">
      <w:pPr>
        <w:jc w:val="both"/>
      </w:pPr>
      <w:r w:rsidRPr="00803F1D">
        <w:t>Nella sentenza a questo proposito leggiamo</w:t>
      </w:r>
      <w:r w:rsidR="003E7E48">
        <w:t xml:space="preserve"> le considerazioni fatte dai Giudici della Corte d’Appello che sintetizzano perfettamente quanto scrivemmo in precedenti approfondimenti. È molto interessante leggere quindi il testo della sentenza nella parte in cui viene spiegato come non possa operare l’ipotesi di esenzione oggi prevista alla lettera d del comma 833 Legge 160/2019</w:t>
      </w:r>
      <w:r w:rsidRPr="00803F1D">
        <w:t>:</w:t>
      </w:r>
    </w:p>
    <w:p w14:paraId="5676AACA" w14:textId="24562071" w:rsidR="00DF6576" w:rsidRPr="008B6595" w:rsidRDefault="00DF6576" w:rsidP="00DF6576">
      <w:pPr>
        <w:jc w:val="both"/>
        <w:rPr>
          <w:i/>
          <w:iCs/>
        </w:rPr>
      </w:pPr>
      <w:r w:rsidRPr="008B6595">
        <w:rPr>
          <w:i/>
          <w:iCs/>
        </w:rPr>
        <w:t xml:space="preserve">“Non può trovare applicazione nel caso di specie nemmeno l’esenzione oggettiva prevista dall’art. 16 lett. h), che presuppone l'occupazione sia effettuata dalla società appaltatrice con propri impianti adibiti al servizio - consistenti nel complesso di attrezzature e macchine necessarie all'impresa concessionaria per lo svolgimento dell'attività - ed il fatto che di essi sia prevista “all'atto della concessione o successivamente, la devoluzione gratuita al o alla Provincia al termine della concessione medesima” (Cassazione civile sez. </w:t>
      </w:r>
      <w:proofErr w:type="spellStart"/>
      <w:r w:rsidRPr="008B6595">
        <w:rPr>
          <w:i/>
          <w:iCs/>
        </w:rPr>
        <w:t>trib</w:t>
      </w:r>
      <w:proofErr w:type="spellEnd"/>
      <w:r w:rsidRPr="008B6595">
        <w:rPr>
          <w:i/>
          <w:iCs/>
        </w:rPr>
        <w:t>., 12/09/2012, n.15247 con riferimento alla analoga esenzione precedentemente prevista dall’art. 49 e) D.lgs.507/1993).</w:t>
      </w:r>
    </w:p>
    <w:p w14:paraId="5A348374" w14:textId="77777777" w:rsidR="00DF6576" w:rsidRPr="008B6595" w:rsidRDefault="00DF6576" w:rsidP="00DF6576">
      <w:pPr>
        <w:jc w:val="both"/>
        <w:rPr>
          <w:i/>
          <w:iCs/>
        </w:rPr>
      </w:pPr>
      <w:r w:rsidRPr="008B6595">
        <w:rPr>
          <w:i/>
          <w:iCs/>
        </w:rPr>
        <w:t xml:space="preserve">L’esenzione, infatti, “trova il suo essenziale presupposto nel fatto che, al termine del rapporto concessorio, gli impianti che sono serviti allo svolgimento del pubblico servizio, e che hanno dato luogo ad occupazione di suolo pubblico, restino devoluti definitivamente ad un ente pubblico territoriale (beneficiario del gettito del tributo), sia esso - indifferentemente - un Comune o una Provincia. La ratio di tale previsione normativa è del tutto evidente. Essa risiede, invero, nel fatto che, in conseguenza della pattuizione intercorsa tra concedente e concessionario, viene a cadere - con riferimento al momento finale del rapporto di concessione - il presupposto essenziale per l'applicazione del tributo, costituito dal beneficio arrecato al contribuente dall'occupazione di uno spazio sul suolo pubblico, sottratto così all'uso collettivo” (Cass. sez. </w:t>
      </w:r>
      <w:proofErr w:type="spellStart"/>
      <w:r w:rsidRPr="008B6595">
        <w:rPr>
          <w:i/>
          <w:iCs/>
        </w:rPr>
        <w:t>trib</w:t>
      </w:r>
      <w:proofErr w:type="spellEnd"/>
      <w:r w:rsidRPr="008B6595">
        <w:rPr>
          <w:i/>
          <w:iCs/>
        </w:rPr>
        <w:t xml:space="preserve">., n.15247/2012 cit.). </w:t>
      </w:r>
    </w:p>
    <w:p w14:paraId="5AA2AA85" w14:textId="2BA3EF9B" w:rsidR="00DF6576" w:rsidRPr="008B6595" w:rsidRDefault="00DF6576" w:rsidP="00DF6576">
      <w:pPr>
        <w:jc w:val="both"/>
        <w:rPr>
          <w:i/>
          <w:iCs/>
        </w:rPr>
      </w:pPr>
      <w:r w:rsidRPr="008B6595">
        <w:rPr>
          <w:i/>
          <w:iCs/>
        </w:rPr>
        <w:lastRenderedPageBreak/>
        <w:t>Anche per tale ipotesi di esenzione vale il principio per cui si tratta di disciplina di stretta interpretazione, non estensibile a ipotesi diverse e ulteriori.</w:t>
      </w:r>
    </w:p>
    <w:p w14:paraId="05D7F0C8" w14:textId="3D7E7AA9" w:rsidR="00DF6576" w:rsidRPr="008B6595" w:rsidRDefault="00DF6576" w:rsidP="00DF6576">
      <w:pPr>
        <w:jc w:val="both"/>
        <w:rPr>
          <w:i/>
          <w:iCs/>
        </w:rPr>
      </w:pPr>
      <w:r w:rsidRPr="008B6595">
        <w:rPr>
          <w:i/>
          <w:iCs/>
        </w:rPr>
        <w:t>L’ipotesi prevede l’esenzione in caso di “devoluzione gratuita” degli impianti al</w:t>
      </w:r>
      <w:r w:rsidR="003E7E48">
        <w:rPr>
          <w:i/>
          <w:iCs/>
        </w:rPr>
        <w:t xml:space="preserve"> Comune</w:t>
      </w:r>
      <w:r w:rsidRPr="008B6595">
        <w:rPr>
          <w:i/>
          <w:iCs/>
        </w:rPr>
        <w:t xml:space="preserve"> e non in caso di mera restituzione e la devoluzione presuppone l’alterità della proprietà perché certo non si può devolvere ciò che non è proprio. </w:t>
      </w:r>
    </w:p>
    <w:p w14:paraId="4C13CDF1" w14:textId="00363455" w:rsidR="00DF6576" w:rsidRPr="008B6595" w:rsidRDefault="00DF6576" w:rsidP="00DF6576">
      <w:pPr>
        <w:jc w:val="both"/>
        <w:rPr>
          <w:i/>
          <w:iCs/>
        </w:rPr>
      </w:pPr>
      <w:r w:rsidRPr="008B6595">
        <w:rPr>
          <w:i/>
          <w:iCs/>
        </w:rPr>
        <w:t xml:space="preserve">Del resto, proprio la specificazione che l’esenzione, per poter operare, richiede la gratuità della devoluzione, esclude che possa riferirsi a impianti già di proprietà dell’ente, perché non possono essere ceduti gratuitamente </w:t>
      </w:r>
      <w:r w:rsidR="00803F1D" w:rsidRPr="008B6595">
        <w:rPr>
          <w:i/>
          <w:iCs/>
        </w:rPr>
        <w:t>al bene</w:t>
      </w:r>
      <w:r w:rsidRPr="008B6595">
        <w:rPr>
          <w:i/>
          <w:iCs/>
        </w:rPr>
        <w:t xml:space="preserve"> di cui l’ente pubblico è già proprietario</w:t>
      </w:r>
      <w:r w:rsidR="008B6595">
        <w:rPr>
          <w:i/>
          <w:iCs/>
        </w:rPr>
        <w:t>.</w:t>
      </w:r>
    </w:p>
    <w:p w14:paraId="2ED06A06" w14:textId="38346EE6" w:rsidR="00DF6576" w:rsidRPr="008B6595" w:rsidRDefault="00DF6576" w:rsidP="00DF6576">
      <w:pPr>
        <w:jc w:val="both"/>
        <w:rPr>
          <w:i/>
          <w:iCs/>
        </w:rPr>
      </w:pPr>
      <w:r w:rsidRPr="008B6595">
        <w:rPr>
          <w:i/>
          <w:iCs/>
        </w:rPr>
        <w:t>Va escluso, dunque, che l’esenzione operi qualora i beni utilizzati per lo svolgimento del servizio siano già di proprietà dell’ente pubblico (nel caso di specie il comune) e vengano semplicemente concessi in uso e poi restituiti al termine della concessione, perché il presupposto dell’esenzione è che la società concessionaria effettui l’occupazione con impianti adibiti al servizio pubblico di sua realizzazione, che, poi, al termine, vengono devoluti gratuitamente al</w:t>
      </w:r>
      <w:r w:rsidR="008B6595">
        <w:rPr>
          <w:i/>
          <w:iCs/>
        </w:rPr>
        <w:t xml:space="preserve"> Comune</w:t>
      </w:r>
      <w:r w:rsidR="003E7E48">
        <w:rPr>
          <w:i/>
          <w:iCs/>
        </w:rPr>
        <w:t>.</w:t>
      </w:r>
    </w:p>
    <w:p w14:paraId="069EE141" w14:textId="52124B91" w:rsidR="00DF6576" w:rsidRPr="008B6595" w:rsidRDefault="00DF6576" w:rsidP="00DF6576">
      <w:pPr>
        <w:jc w:val="both"/>
        <w:rPr>
          <w:i/>
          <w:iCs/>
        </w:rPr>
      </w:pPr>
      <w:r w:rsidRPr="008B6595">
        <w:rPr>
          <w:i/>
          <w:iCs/>
        </w:rPr>
        <w:t xml:space="preserve">Quindi, nel caso in cui il concessionario si limiti a restituire al </w:t>
      </w:r>
      <w:r w:rsidR="003E7E48">
        <w:rPr>
          <w:i/>
          <w:iCs/>
        </w:rPr>
        <w:t>Comune</w:t>
      </w:r>
      <w:r w:rsidR="003E7E48" w:rsidRPr="008B6595">
        <w:rPr>
          <w:i/>
          <w:iCs/>
        </w:rPr>
        <w:t xml:space="preserve"> </w:t>
      </w:r>
      <w:r w:rsidRPr="008B6595">
        <w:rPr>
          <w:i/>
          <w:iCs/>
        </w:rPr>
        <w:t xml:space="preserve">beni già di proprietà dell'ente pubblico territoriale (oggetto solo di attività di manutenzione nel corso del rapporto) l’esenzione non opera (in tal senso </w:t>
      </w:r>
      <w:proofErr w:type="spellStart"/>
      <w:r w:rsidRPr="008B6595">
        <w:rPr>
          <w:i/>
          <w:iCs/>
        </w:rPr>
        <w:t>Cass.sez</w:t>
      </w:r>
      <w:proofErr w:type="spellEnd"/>
      <w:r w:rsidRPr="008B6595">
        <w:rPr>
          <w:i/>
          <w:iCs/>
        </w:rPr>
        <w:t xml:space="preserve">. </w:t>
      </w:r>
      <w:proofErr w:type="spellStart"/>
      <w:r w:rsidRPr="008B6595">
        <w:rPr>
          <w:i/>
          <w:iCs/>
        </w:rPr>
        <w:t>trib</w:t>
      </w:r>
      <w:proofErr w:type="spellEnd"/>
      <w:r w:rsidRPr="008B6595">
        <w:rPr>
          <w:i/>
          <w:iCs/>
        </w:rPr>
        <w:t xml:space="preserve">. nr.16866 del 23.6.2025; sez. I, n. 25986 del 03/10/2024) così come non giustifica l’esenzione il fatto che su tali impianti si stata svolta manutenzione, circostanza che non rileva ai fini dell’esenzione. </w:t>
      </w:r>
    </w:p>
    <w:p w14:paraId="16B8B27D" w14:textId="7C027DBE" w:rsidR="00DF6576" w:rsidRDefault="00DF6576" w:rsidP="00DF6576">
      <w:pPr>
        <w:jc w:val="both"/>
        <w:rPr>
          <w:i/>
          <w:iCs/>
        </w:rPr>
      </w:pPr>
      <w:r w:rsidRPr="008B6595">
        <w:rPr>
          <w:i/>
          <w:iCs/>
        </w:rPr>
        <w:t>Né supporta diversa interpretazione il richiamo all’art. 153 d.lgs. 152/2006, che prevede che le infrastrutture idriche di proprietà pubblica siano affidate “in concessione d’uso gratuita” al gestore del servizio idrico integrato, che si riferisce alle infrastrutture di cui all’art. 143 e non all’occupazione delle superfici demaniali, per le quali è prevista l’applicazione del canone ai sensi della L. 160/2019 (la stessa Cassazione, nella sentenza a SU nr.31752 del 5.12.2019, pur relativa a diversa fattispecie, ha sottolineato che un conto sono le infrastrutture di cui all’art. 143 TU Ambiente, altro sono le superfici demaniali occupate da tali infrastrutture cui non può estendersi la gratuità dell’uso delle infrastrutture).</w:t>
      </w:r>
    </w:p>
    <w:p w14:paraId="2FF43CD0" w14:textId="57C36A78" w:rsidR="005A6BC4" w:rsidRDefault="005A6BC4" w:rsidP="00DF6576">
      <w:pPr>
        <w:jc w:val="both"/>
        <w:rPr>
          <w:i/>
          <w:iCs/>
        </w:rPr>
      </w:pPr>
      <w:r>
        <w:t>Interessante infine il ragionamento che la Corte fa in termini di prova, ovvero di d</w:t>
      </w:r>
      <w:r w:rsidRPr="005A6BC4">
        <w:t>imostrare</w:t>
      </w:r>
      <w:r>
        <w:t xml:space="preserve"> che sussista</w:t>
      </w:r>
      <w:r w:rsidRPr="005A6BC4">
        <w:t xml:space="preserve"> il presupposto per l’invocata esenzione dal pagamento</w:t>
      </w:r>
      <w:r>
        <w:t xml:space="preserve">. I giudici scrivono: </w:t>
      </w:r>
      <w:r w:rsidRPr="005A6BC4">
        <w:rPr>
          <w:i/>
          <w:iCs/>
        </w:rPr>
        <w:t>“</w:t>
      </w:r>
      <w:r>
        <w:rPr>
          <w:i/>
          <w:iCs/>
        </w:rPr>
        <w:t>…</w:t>
      </w:r>
      <w:r w:rsidRPr="005A6BC4">
        <w:rPr>
          <w:i/>
          <w:iCs/>
        </w:rPr>
        <w:t xml:space="preserve">poiché è </w:t>
      </w:r>
      <w:r>
        <w:rPr>
          <w:i/>
          <w:iCs/>
        </w:rPr>
        <w:t xml:space="preserve">(il gestore del servizio idrico) </w:t>
      </w:r>
      <w:r w:rsidRPr="005A6BC4">
        <w:rPr>
          <w:i/>
          <w:iCs/>
        </w:rPr>
        <w:t>che invoca l’esenzione, che costituisce eccezione alla regola dell’ordinaria debenza del COSAP, spettava all’opponente, in virtù dei criteri generali di cui all’art. 2697 c.c. l'onere di provare il verificarsi dei presupposti che gli davano diritto all’esenzione invocata di cui intende beneficiare.</w:t>
      </w:r>
      <w:r>
        <w:rPr>
          <w:i/>
          <w:iCs/>
        </w:rPr>
        <w:t xml:space="preserve"> </w:t>
      </w:r>
      <w:r w:rsidRPr="005A6BC4">
        <w:rPr>
          <w:i/>
          <w:iCs/>
        </w:rPr>
        <w:t xml:space="preserve">Spettava, dunque, ad </w:t>
      </w:r>
      <w:r>
        <w:rPr>
          <w:i/>
          <w:iCs/>
        </w:rPr>
        <w:t xml:space="preserve">(gestore del servizio idrico) </w:t>
      </w:r>
      <w:r w:rsidRPr="005A6BC4">
        <w:rPr>
          <w:i/>
          <w:iCs/>
        </w:rPr>
        <w:t>provare la realizzazione in proprio di impianti durante la concessione, mentre l’appellante si è limitata ad affermare di aver realizzato</w:t>
      </w:r>
      <w:r>
        <w:rPr>
          <w:i/>
          <w:iCs/>
        </w:rPr>
        <w:t xml:space="preserve"> </w:t>
      </w:r>
      <w:r w:rsidRPr="005A6BC4">
        <w:rPr>
          <w:i/>
          <w:iCs/>
        </w:rPr>
        <w:t>beni funzionali al SII senza documentarne la realizzazione né tanto meno produrre il Libro Cespiti.</w:t>
      </w:r>
      <w:r>
        <w:rPr>
          <w:i/>
          <w:iCs/>
        </w:rPr>
        <w:t>”</w:t>
      </w:r>
    </w:p>
    <w:p w14:paraId="4FEF08D8" w14:textId="5A4A47E8" w:rsidR="005A6BC4" w:rsidRDefault="005A6BC4" w:rsidP="005A6BC4">
      <w:pPr>
        <w:jc w:val="both"/>
        <w:rPr>
          <w:i/>
          <w:iCs/>
        </w:rPr>
      </w:pPr>
      <w:r w:rsidRPr="005A6BC4">
        <w:t>Proseguono i giudici:</w:t>
      </w:r>
      <w:r>
        <w:rPr>
          <w:i/>
          <w:iCs/>
        </w:rPr>
        <w:t xml:space="preserve"> “</w:t>
      </w:r>
      <w:r w:rsidRPr="005A6BC4">
        <w:rPr>
          <w:i/>
          <w:iCs/>
        </w:rPr>
        <w:t>Va, infatti, aggiunto che l’esenzione invocata prevede che la devoluzione, che deve essere gratuita, sia prevista “all’atto della concessione o successivamente” e, trattandosi di una eccezione alla ordinaria onerosità del canone, tale devoluzione, ove sussistente, deve essere chiaramente espressa sia nella conseguenza che nella gratuità. La convenzione non prevede espressamente alcuna devoluzione gratuita al comune degli impianti eventualmente realizzati dal gestore in corso di convenzione e, per contro, regolamenta (art. 44) il passaggio tra gestore uscente e gestore subentrante prevedendo la corresponsione da parte di quest’ultimo di una indennità.</w:t>
      </w:r>
      <w:r>
        <w:rPr>
          <w:i/>
          <w:iCs/>
        </w:rPr>
        <w:t>”</w:t>
      </w:r>
    </w:p>
    <w:p w14:paraId="4490CDC4" w14:textId="114EC87A" w:rsidR="005A6BC4" w:rsidRPr="005A6BC4" w:rsidRDefault="005A6BC4" w:rsidP="005A6BC4">
      <w:pPr>
        <w:jc w:val="both"/>
      </w:pPr>
      <w:r>
        <w:t>La sentenza in commento ribadisce ancora una volta come le aziende che erogano i servizi idrici (acqua potabile e fognatura) siano soggette al pagamento del CUP in relazione alla speciale tariffa ad utenza servita così come disposto al comma 831 della legge 160/2019</w:t>
      </w:r>
      <w:r w:rsidR="00701D87">
        <w:t>,</w:t>
      </w:r>
      <w:r>
        <w:t xml:space="preserve"> e che nessuno degli </w:t>
      </w:r>
      <w:r w:rsidR="00701D87">
        <w:t>operatori</w:t>
      </w:r>
      <w:r>
        <w:t xml:space="preserve"> che oggi gestiscono le reti pubbliche</w:t>
      </w:r>
      <w:r w:rsidR="00701D87">
        <w:t xml:space="preserve"> </w:t>
      </w:r>
      <w:r w:rsidR="00C67BDC">
        <w:t>nei territori</w:t>
      </w:r>
      <w:r w:rsidR="00701D87">
        <w:t xml:space="preserve"> d’ambito individuati nel nostro Paese,</w:t>
      </w:r>
      <w:r>
        <w:t xml:space="preserve"> possiede </w:t>
      </w:r>
      <w:r w:rsidR="00701D87">
        <w:t>requisiti</w:t>
      </w:r>
      <w:r>
        <w:t xml:space="preserve"> validi per ottenere l’esenzione dal pagamento</w:t>
      </w:r>
      <w:r w:rsidR="00701D87">
        <w:t>.</w:t>
      </w:r>
    </w:p>
    <w:p w14:paraId="1FF13E6D" w14:textId="77777777" w:rsidR="00DF6576" w:rsidRPr="00DF6576" w:rsidRDefault="00DF6576" w:rsidP="00DF6576">
      <w:pPr>
        <w:jc w:val="both"/>
        <w:rPr>
          <w:b/>
          <w:bCs/>
        </w:rPr>
      </w:pPr>
    </w:p>
    <w:p w14:paraId="4736D0FA" w14:textId="77777777" w:rsidR="00DF6576" w:rsidRPr="00DF6576" w:rsidRDefault="00DF6576" w:rsidP="00DF6576">
      <w:pPr>
        <w:jc w:val="both"/>
        <w:rPr>
          <w:i/>
          <w:iCs/>
          <w:sz w:val="24"/>
          <w:szCs w:val="24"/>
        </w:rPr>
      </w:pPr>
    </w:p>
    <w:sectPr w:rsidR="00DF6576" w:rsidRPr="00DF657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6D"/>
    <w:rsid w:val="00060149"/>
    <w:rsid w:val="003E7E48"/>
    <w:rsid w:val="005A6BC4"/>
    <w:rsid w:val="00641E8B"/>
    <w:rsid w:val="0065744A"/>
    <w:rsid w:val="00701D87"/>
    <w:rsid w:val="00777819"/>
    <w:rsid w:val="007B1496"/>
    <w:rsid w:val="00803F1D"/>
    <w:rsid w:val="00871AAB"/>
    <w:rsid w:val="008B6595"/>
    <w:rsid w:val="008E7885"/>
    <w:rsid w:val="00965E6D"/>
    <w:rsid w:val="00A11EE8"/>
    <w:rsid w:val="00A25A9D"/>
    <w:rsid w:val="00A86ACF"/>
    <w:rsid w:val="00A87EDC"/>
    <w:rsid w:val="00AF6FE4"/>
    <w:rsid w:val="00BA2AEE"/>
    <w:rsid w:val="00C334FA"/>
    <w:rsid w:val="00C67BDC"/>
    <w:rsid w:val="00DF6576"/>
    <w:rsid w:val="00E90910"/>
    <w:rsid w:val="00F43A5C"/>
    <w:rsid w:val="00F46E60"/>
    <w:rsid w:val="00FD01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0933"/>
  <w15:chartTrackingRefBased/>
  <w15:docId w15:val="{7791D7A6-BF0D-44B6-986C-2F8D6933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5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65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65E6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65E6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65E6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65E6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5E6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5E6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5E6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5E6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65E6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65E6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65E6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65E6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65E6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5E6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5E6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5E6D"/>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5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5E6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5E6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5E6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5E6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5E6D"/>
    <w:rPr>
      <w:i/>
      <w:iCs/>
      <w:color w:val="404040" w:themeColor="text1" w:themeTint="BF"/>
    </w:rPr>
  </w:style>
  <w:style w:type="paragraph" w:styleId="Paragrafoelenco">
    <w:name w:val="List Paragraph"/>
    <w:basedOn w:val="Normale"/>
    <w:uiPriority w:val="34"/>
    <w:qFormat/>
    <w:rsid w:val="00965E6D"/>
    <w:pPr>
      <w:ind w:left="720"/>
      <w:contextualSpacing/>
    </w:pPr>
  </w:style>
  <w:style w:type="character" w:styleId="Enfasiintensa">
    <w:name w:val="Intense Emphasis"/>
    <w:basedOn w:val="Carpredefinitoparagrafo"/>
    <w:uiPriority w:val="21"/>
    <w:qFormat/>
    <w:rsid w:val="00965E6D"/>
    <w:rPr>
      <w:i/>
      <w:iCs/>
      <w:color w:val="2F5496" w:themeColor="accent1" w:themeShade="BF"/>
    </w:rPr>
  </w:style>
  <w:style w:type="paragraph" w:styleId="Citazioneintensa">
    <w:name w:val="Intense Quote"/>
    <w:basedOn w:val="Normale"/>
    <w:next w:val="Normale"/>
    <w:link w:val="CitazioneintensaCarattere"/>
    <w:uiPriority w:val="30"/>
    <w:qFormat/>
    <w:rsid w:val="00965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65E6D"/>
    <w:rPr>
      <w:i/>
      <w:iCs/>
      <w:color w:val="2F5496" w:themeColor="accent1" w:themeShade="BF"/>
    </w:rPr>
  </w:style>
  <w:style w:type="character" w:styleId="Riferimentointenso">
    <w:name w:val="Intense Reference"/>
    <w:basedOn w:val="Carpredefinitoparagrafo"/>
    <w:uiPriority w:val="32"/>
    <w:qFormat/>
    <w:rsid w:val="00965E6D"/>
    <w:rPr>
      <w:b/>
      <w:bCs/>
      <w:smallCaps/>
      <w:color w:val="2F5496" w:themeColor="accent1" w:themeShade="BF"/>
      <w:spacing w:val="5"/>
    </w:rPr>
  </w:style>
  <w:style w:type="paragraph" w:customStyle="1" w:styleId="Default">
    <w:name w:val="Default"/>
    <w:rsid w:val="00DF6576"/>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Pages>
  <Words>1914</Words>
  <Characters>10911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11</cp:revision>
  <dcterms:created xsi:type="dcterms:W3CDTF">2026-03-18T11:33:00Z</dcterms:created>
  <dcterms:modified xsi:type="dcterms:W3CDTF">2026-03-21T12:23:00Z</dcterms:modified>
</cp:coreProperties>
</file>