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7EEA" w14:textId="7C3330F5" w:rsidR="006672EA" w:rsidRDefault="00734776">
      <w:r>
        <w:t xml:space="preserve">Titolo: </w:t>
      </w:r>
      <w:r w:rsidR="00F86BD0">
        <w:t xml:space="preserve">La </w:t>
      </w:r>
      <w:r w:rsidR="00F86BD0" w:rsidRPr="00F86BD0">
        <w:t>comunicazione elettronica non rientra nelle attribuzioni del Comune</w:t>
      </w:r>
      <w:r w:rsidR="00F86BD0">
        <w:t xml:space="preserve">. Niente CUP su patrimonio disponibile </w:t>
      </w:r>
    </w:p>
    <w:p w14:paraId="7D1AC684" w14:textId="1CB50D94" w:rsidR="00734776" w:rsidRDefault="00734776">
      <w:r>
        <w:t>Di Alessandro Merciari</w:t>
      </w:r>
    </w:p>
    <w:p w14:paraId="16C2473E" w14:textId="228D76D7" w:rsidR="00734776" w:rsidRDefault="00166873" w:rsidP="003442E3">
      <w:pPr>
        <w:jc w:val="both"/>
      </w:pPr>
      <w:r>
        <w:t>È di recente pubblicazione</w:t>
      </w:r>
      <w:r w:rsidR="00734776">
        <w:t xml:space="preserve"> una sentenza della Corte d’Appello di Venezia che è tornata ad occuparsi d</w:t>
      </w:r>
      <w:r>
        <w:t xml:space="preserve">ella nota </w:t>
      </w:r>
      <w:r w:rsidR="00734776">
        <w:t xml:space="preserve">questione </w:t>
      </w:r>
      <w:r>
        <w:t>“antenne”</w:t>
      </w:r>
      <w:r w:rsidR="00734776">
        <w:t xml:space="preserve"> nell’ambito della disciplina del Canone Unico.</w:t>
      </w:r>
    </w:p>
    <w:p w14:paraId="69E898EB" w14:textId="7C8A833C" w:rsidR="00734776" w:rsidRDefault="00734776" w:rsidP="00734776">
      <w:pPr>
        <w:jc w:val="both"/>
      </w:pPr>
      <w:r>
        <w:t xml:space="preserve">Da quando il Legislatore ha introdotto il comma 831 bis all’articolo 1 della Legge 160/2019, si è aperta la questione sull’applicazione della speciale tariffa imposta per Legge </w:t>
      </w:r>
      <w:r w:rsidR="003442E3">
        <w:t>per tutte</w:t>
      </w:r>
      <w:r>
        <w:t xml:space="preserve"> quelle occupazioni realizzate</w:t>
      </w:r>
      <w:r w:rsidR="003442E3">
        <w:t xml:space="preserve"> con </w:t>
      </w:r>
      <w:r>
        <w:t>antenne e ripetitori nei territori dei nostri Comuni</w:t>
      </w:r>
      <w:r w:rsidR="003442E3">
        <w:t xml:space="preserve">. La controversia riguarda fondamentalmente </w:t>
      </w:r>
      <w:r>
        <w:t>la natura dell’area in cui vengono collate queste infrastrutture dedicate alle comunicazioni elettroniche diverse da quelle disciplinate dal precedente comma 831.</w:t>
      </w:r>
    </w:p>
    <w:p w14:paraId="3F7F769B" w14:textId="3F2C48BC" w:rsidR="00734776" w:rsidRDefault="00734776" w:rsidP="00734776">
      <w:pPr>
        <w:jc w:val="both"/>
      </w:pPr>
      <w:r>
        <w:t xml:space="preserve">La </w:t>
      </w:r>
      <w:r w:rsidRPr="00734776">
        <w:t xml:space="preserve">Corte di Appello di </w:t>
      </w:r>
      <w:r w:rsidR="003442E3" w:rsidRPr="00734776">
        <w:t>Venezia</w:t>
      </w:r>
      <w:r w:rsidR="003442E3">
        <w:t xml:space="preserve">, </w:t>
      </w:r>
      <w:r w:rsidR="003442E3" w:rsidRPr="00734776">
        <w:t>Sezione</w:t>
      </w:r>
      <w:r>
        <w:t xml:space="preserve"> </w:t>
      </w:r>
      <w:r w:rsidRPr="00734776">
        <w:t xml:space="preserve">V – Civile </w:t>
      </w:r>
      <w:r>
        <w:t>con la s</w:t>
      </w:r>
      <w:r w:rsidRPr="00734776">
        <w:t>entenza 814 del 4/4/2025</w:t>
      </w:r>
      <w:r>
        <w:t>, è tornata ad affermare</w:t>
      </w:r>
      <w:r w:rsidR="003442E3">
        <w:t xml:space="preserve"> con forza</w:t>
      </w:r>
      <w:r>
        <w:t xml:space="preserve"> che il CUP trova applicazione solo ed esclusivamente quando le occupazioni vengono realizzate su aree del demanio o appartenente al patrimonio indisponibile degli Enti locali.</w:t>
      </w:r>
    </w:p>
    <w:p w14:paraId="3D6D1E4B" w14:textId="0C5A2A83" w:rsidR="00606DE1" w:rsidRDefault="00734776" w:rsidP="00734776">
      <w:pPr>
        <w:jc w:val="both"/>
        <w:rPr>
          <w:i/>
          <w:iCs/>
        </w:rPr>
      </w:pPr>
      <w:r>
        <w:t xml:space="preserve">I giudici </w:t>
      </w:r>
      <w:r w:rsidR="003442E3">
        <w:t xml:space="preserve">nell’esprimere questo fondamentale principio </w:t>
      </w:r>
      <w:r>
        <w:t xml:space="preserve">richiamano </w:t>
      </w:r>
      <w:r w:rsidRPr="00734776">
        <w:t>l’orientamento maggioritario della giurisprudenza</w:t>
      </w:r>
      <w:r w:rsidR="00606DE1">
        <w:t>:</w:t>
      </w:r>
      <w:r w:rsidRPr="00734776">
        <w:rPr>
          <w:i/>
          <w:iCs/>
        </w:rPr>
        <w:t xml:space="preserve"> </w:t>
      </w:r>
      <w:r w:rsidR="00606DE1">
        <w:rPr>
          <w:i/>
          <w:iCs/>
        </w:rPr>
        <w:t>“</w:t>
      </w:r>
      <w:r w:rsidRPr="00734776">
        <w:rPr>
          <w:i/>
          <w:iCs/>
        </w:rPr>
        <w:t>(Cass. 17299/2019, App. Venezia 2488/2022, App. Venezia 571/2024; App. Firenze 837/2023, richiamata dal Tribunale alle pagg. 7s. della sentenza, nonché App. Milano 2024/2024 e n. 3638/2022 – doc. 3 e 4 dell’appellato -, App. Lecce 233/2023, App. Trieste 48/2021)</w:t>
      </w:r>
      <w:r w:rsidR="00606DE1">
        <w:rPr>
          <w:i/>
          <w:iCs/>
        </w:rPr>
        <w:t xml:space="preserve">” </w:t>
      </w:r>
      <w:r w:rsidR="00606DE1">
        <w:t xml:space="preserve">che porta a limitare </w:t>
      </w:r>
      <w:r w:rsidRPr="00606DE1">
        <w:t>la disciplina speciale dell’art. 93</w:t>
      </w:r>
      <w:r w:rsidR="003442E3">
        <w:t xml:space="preserve"> del Codice delle Telecomunicazioni</w:t>
      </w:r>
      <w:r w:rsidRPr="00606DE1">
        <w:t xml:space="preserve"> (ora art. 54) ai soli impianti localizzati su beni demaniali o del patrimonio indisponibile</w:t>
      </w:r>
      <w:r w:rsidR="00606DE1">
        <w:rPr>
          <w:i/>
          <w:iCs/>
        </w:rPr>
        <w:t>.</w:t>
      </w:r>
    </w:p>
    <w:p w14:paraId="5939BA0C" w14:textId="466D0D69" w:rsidR="00734776" w:rsidRDefault="00606DE1" w:rsidP="00734776">
      <w:pPr>
        <w:jc w:val="both"/>
        <w:rPr>
          <w:i/>
          <w:iCs/>
        </w:rPr>
      </w:pPr>
      <w:r>
        <w:t>La Corte d’Appello</w:t>
      </w:r>
      <w:r w:rsidR="003442E3">
        <w:t xml:space="preserve">, nel costruire il proprio dispositivo, </w:t>
      </w:r>
      <w:r>
        <w:t xml:space="preserve"> richiama anche la sentenza del </w:t>
      </w:r>
      <w:r w:rsidRPr="00606DE1">
        <w:rPr>
          <w:i/>
          <w:iCs/>
        </w:rPr>
        <w:t>T</w:t>
      </w:r>
      <w:r w:rsidR="00734776" w:rsidRPr="00606DE1">
        <w:rPr>
          <w:i/>
          <w:iCs/>
        </w:rPr>
        <w:t>AR Lombardia 232/20</w:t>
      </w:r>
      <w:r w:rsidR="00734776" w:rsidRPr="00606DE1">
        <w:t xml:space="preserve">24, </w:t>
      </w:r>
      <w:r w:rsidR="001056E8">
        <w:t xml:space="preserve">che </w:t>
      </w:r>
      <w:r w:rsidR="003442E3">
        <w:t>si espresse fissando</w:t>
      </w:r>
      <w:r w:rsidR="001056E8">
        <w:t xml:space="preserve"> un concetto fondamentale nell’analisi della questione. Secondo i Giudici lombardi</w:t>
      </w:r>
      <w:r>
        <w:t>: “</w:t>
      </w:r>
      <w:r w:rsidR="00734776" w:rsidRPr="00734776">
        <w:rPr>
          <w:i/>
          <w:iCs/>
        </w:rPr>
        <w:t xml:space="preserve"> non può ritenersi che il bene sia destinato a un pubblico servizio di comunicazioni elettroniche in quanto l’art. 1 co. 1 lett. a) D. Lvo 259/2003, quando definisce come pubblica una rete di comunicazione elettronica utilizzata interamente o prevalentemente per fornire servizi di comunicazione elettronica accessibili al pubblico, che supporta il trasferimento di informazioni tra i punti terminali di reti non intende qualificare come appartenenti al demanio o al patrimonio pubblico questi beni, come chiarito dall’art. 86 co. 3 del D. Lvo 259/2003 che assimila le infrastrutture di reti pubbliche di comunicazione, di cui agli articoli 87 e 88, e le opere di infrastrutturazione per la realizzazione delle reti di comunicazione elettronica ad alta velocità in fibra ottica in grado di fornire servizi di accesso a banda ultralarga, effettuate anche all’interno degli edifici alle opere di urbanizzazione primaria di cui al DPR 380/2001, pur restando i beni di proprietà dei rispettivi operatori, così come le infrastrutture che li accolgono. Prevale quindi una nozione oggettiva e non soggettiva di servizio pubblico che comporta l’irrilevanza del regime proprietario</w:t>
      </w:r>
      <w:r>
        <w:rPr>
          <w:i/>
          <w:iCs/>
        </w:rPr>
        <w:t>”</w:t>
      </w:r>
    </w:p>
    <w:p w14:paraId="06D03916" w14:textId="01E48BA1" w:rsidR="00A307CE" w:rsidRDefault="00A307CE" w:rsidP="00734776">
      <w:pPr>
        <w:jc w:val="both"/>
      </w:pPr>
      <w:r>
        <w:t>Nella sentenza della Corte d’Appello di Venezia</w:t>
      </w:r>
      <w:r w:rsidR="003442E3">
        <w:t>, richiamata l’importante giurisprudenza,</w:t>
      </w:r>
      <w:r>
        <w:t xml:space="preserve"> si trovano </w:t>
      </w:r>
      <w:r w:rsidR="003442E3">
        <w:t xml:space="preserve">oggi </w:t>
      </w:r>
      <w:r>
        <w:t>spunti di riflessioni importantissimi sul</w:t>
      </w:r>
      <w:r w:rsidR="003442E3">
        <w:t xml:space="preserve"> tema</w:t>
      </w:r>
      <w:r>
        <w:t xml:space="preserve"> che vede </w:t>
      </w:r>
      <w:r w:rsidR="003442E3">
        <w:t xml:space="preserve">continuamente </w:t>
      </w:r>
      <w:r>
        <w:t xml:space="preserve">contrapposti gli interessi dei Comuni </w:t>
      </w:r>
      <w:r w:rsidR="003442E3">
        <w:t>con</w:t>
      </w:r>
      <w:r>
        <w:t xml:space="preserve"> quelli delle compagnie </w:t>
      </w:r>
      <w:r w:rsidR="00A85B07">
        <w:t>di comunicazione elettronica. Vediamo</w:t>
      </w:r>
      <w:r w:rsidR="003442E3">
        <w:t xml:space="preserve"> alcuni passaggi chiave della sentenza</w:t>
      </w:r>
      <w:r w:rsidR="00A85B07">
        <w:t>:</w:t>
      </w:r>
    </w:p>
    <w:p w14:paraId="1D978BF8" w14:textId="1E4474EA" w:rsidR="00A85B07" w:rsidRPr="00A85B07" w:rsidRDefault="00A85B07" w:rsidP="00A85B07">
      <w:pPr>
        <w:jc w:val="both"/>
        <w:rPr>
          <w:i/>
          <w:iCs/>
        </w:rPr>
      </w:pPr>
      <w:r w:rsidRPr="00A85B07">
        <w:t>“</w:t>
      </w:r>
      <w:r w:rsidRPr="00A85B07">
        <w:rPr>
          <w:i/>
          <w:iCs/>
        </w:rPr>
        <w:t xml:space="preserve">18. Peraltro, l’applicazione del canone invocato dall’appellante anche ai beni del patrimonio disponibile, oltre che testualmente esclusa dalla norma, comporterebbe una disparità di trattamento della PA, con conseguente nocumento rispetto ai privati, ai quali non viene imposto limite di prezzo per la concessione di spazi di loro proprietà. </w:t>
      </w:r>
    </w:p>
    <w:p w14:paraId="71C90240" w14:textId="20ECCC8C" w:rsidR="00A85B07" w:rsidRPr="00A85B07" w:rsidRDefault="00A85B07" w:rsidP="00A85B07">
      <w:pPr>
        <w:jc w:val="both"/>
        <w:rPr>
          <w:i/>
          <w:iCs/>
        </w:rPr>
      </w:pPr>
      <w:r w:rsidRPr="00A85B07">
        <w:rPr>
          <w:i/>
          <w:iCs/>
        </w:rPr>
        <w:t>19. L’attività svolta dalla conduttrice non può attribuire al terreno comunale oggetto di locazione una diversa qualificazione giuridica, in quanto la destinazione al pubblico servizio richiede che vi sia corrispondenza tra l’oggetto e le attribuzioni istituzionali dell’ente, situazione insussistente nella specie poiché il Comune non ha concesso il bene  per l’esercizio indiretto di un proprio servizio pubblico.</w:t>
      </w:r>
    </w:p>
    <w:p w14:paraId="1BD9F212" w14:textId="77777777" w:rsidR="00A85B07" w:rsidRPr="00A85B07" w:rsidRDefault="00A85B07" w:rsidP="00A85B07">
      <w:pPr>
        <w:jc w:val="both"/>
        <w:rPr>
          <w:i/>
          <w:iCs/>
        </w:rPr>
      </w:pPr>
    </w:p>
    <w:p w14:paraId="13286719" w14:textId="376FCEFB" w:rsidR="00A85B07" w:rsidRPr="00A85B07" w:rsidRDefault="00A85B07" w:rsidP="00A85B07">
      <w:pPr>
        <w:jc w:val="both"/>
        <w:rPr>
          <w:i/>
          <w:iCs/>
        </w:rPr>
      </w:pPr>
      <w:r w:rsidRPr="00A85B07">
        <w:rPr>
          <w:i/>
          <w:iCs/>
        </w:rPr>
        <w:t>20. Non rientrando nelle attribuzioni del Comune l’esercizio del servizio di telecomunicazioni, la locazione del terreno in virtù del contratto dedotto in giudizio riguarda un bene del patrimonio disponibile dell’ente e rientra nello schema privatistico della locazione di immobili…</w:t>
      </w:r>
    </w:p>
    <w:p w14:paraId="3E338D9E" w14:textId="139EA914" w:rsidR="00A85B07" w:rsidRDefault="00A85B07" w:rsidP="00A85B07">
      <w:pPr>
        <w:jc w:val="both"/>
        <w:rPr>
          <w:i/>
          <w:iCs/>
        </w:rPr>
      </w:pPr>
      <w:r w:rsidRPr="00A85B07">
        <w:rPr>
          <w:i/>
          <w:iCs/>
        </w:rPr>
        <w:t>21. Deve pertanto ritenersi esclusa la debenza del CUP</w:t>
      </w:r>
      <w:r>
        <w:rPr>
          <w:i/>
          <w:iCs/>
        </w:rPr>
        <w:t>…</w:t>
      </w:r>
    </w:p>
    <w:p w14:paraId="44DEB59A" w14:textId="77777777" w:rsidR="00A85B07" w:rsidRPr="00A85B07" w:rsidRDefault="00A85B07" w:rsidP="00A85B07">
      <w:pPr>
        <w:jc w:val="both"/>
        <w:rPr>
          <w:i/>
          <w:iCs/>
        </w:rPr>
      </w:pPr>
      <w:r w:rsidRPr="00A85B07">
        <w:rPr>
          <w:i/>
          <w:iCs/>
        </w:rPr>
        <w:t>22.</w:t>
      </w:r>
      <w:r w:rsidRPr="00A85B07">
        <w:rPr>
          <w:b/>
          <w:bCs/>
          <w:i/>
          <w:iCs/>
        </w:rPr>
        <w:t xml:space="preserve"> </w:t>
      </w:r>
      <w:r w:rsidRPr="00A85B07">
        <w:rPr>
          <w:i/>
          <w:iCs/>
        </w:rPr>
        <w:t xml:space="preserve">L’area controversa non può essere qualificata come bene pubblico per il semplice fatto di appartenere al comune, visto che i beni del patrimonio disponibile ricevono un trattamento uguale ai beni dei privati, mentre </w:t>
      </w:r>
      <w:r w:rsidRPr="00A85B07">
        <w:rPr>
          <w:i/>
          <w:iCs/>
          <w:u w:val="single"/>
        </w:rPr>
        <w:t>«affinché un bene non appartenente al demanio necessario possa rivestire il carattere pubblico proprio dei beni patrimoniali indisponibili perché destinati ad un pubblico servizio ai sensi dell’art. 826, comma 3, cc deve sussistere un doppio requisito: la manifestazione di volontà dell’ente titolare del diritto reale pubblico e perciò un atto amministrativo da cui risulti la specifica volontà dell’ente di destinare quel determinato bene ad un pubblico servizio e l’effettiva ed attuale destinazione del bene al pubblico servizio” (cfr. Cass. SU 14865/2006 e 6019/2016).</w:t>
      </w:r>
      <w:r w:rsidRPr="00A85B07">
        <w:rPr>
          <w:i/>
          <w:iCs/>
        </w:rPr>
        <w:t xml:space="preserve"> </w:t>
      </w:r>
    </w:p>
    <w:p w14:paraId="5780926F" w14:textId="42D962D6" w:rsidR="00A85B07" w:rsidRPr="00A85B07" w:rsidRDefault="00A85B07" w:rsidP="00A85B07">
      <w:pPr>
        <w:jc w:val="both"/>
        <w:rPr>
          <w:i/>
          <w:iCs/>
        </w:rPr>
      </w:pPr>
      <w:r w:rsidRPr="00A85B07">
        <w:rPr>
          <w:i/>
          <w:iCs/>
        </w:rPr>
        <w:t>23.</w:t>
      </w:r>
      <w:r w:rsidRPr="00A85B07">
        <w:rPr>
          <w:b/>
          <w:bCs/>
          <w:i/>
          <w:iCs/>
        </w:rPr>
        <w:t xml:space="preserve"> </w:t>
      </w:r>
      <w:r w:rsidRPr="00A85B07">
        <w:rPr>
          <w:i/>
          <w:iCs/>
        </w:rPr>
        <w:t>Nel caso di specie, l’area in questione è stata destinata alla produzione di reddito, tramite locazione a un’azienda privata che, con propri mezzi, ha svolto e svolge il servizio di comunicazione elettronica, non rientrante nelle attribuzioni del Comune e tale uso, da parte del privato conduttore, non può far divenire (né lo ha fatto divenire) pubblico il bene del Comune per una sorta di proprietà transitiva, né può ritenersi sufficiente il titolo abilitativo edilizio rilasciato per installare l’impianto di telecomunicazione quale atto di destinazione del bene a patrimonio indisponibile (vd. App. Brescia 1620/2023).</w:t>
      </w:r>
      <w:r w:rsidR="008342B4">
        <w:rPr>
          <w:i/>
          <w:iCs/>
        </w:rPr>
        <w:t>”</w:t>
      </w:r>
      <w:r w:rsidRPr="00A85B07">
        <w:rPr>
          <w:i/>
          <w:iCs/>
        </w:rPr>
        <w:t xml:space="preserve"> </w:t>
      </w:r>
    </w:p>
    <w:p w14:paraId="68F65F49" w14:textId="41D59821" w:rsidR="00A85B07" w:rsidRDefault="008342B4" w:rsidP="00A85B07">
      <w:pPr>
        <w:jc w:val="both"/>
      </w:pPr>
      <w:r>
        <w:t xml:space="preserve">La lettura di questi passaggi chiarisce in modo perfetto la questione, dettando dei principi fondamentali su cui basare i rapporti che i Comuni </w:t>
      </w:r>
      <w:r w:rsidR="00DC4196">
        <w:t>dovranno</w:t>
      </w:r>
      <w:r>
        <w:t xml:space="preserve"> intrattenere con quelle aziende che sfruttano il posizionamento di tralicci e impianti destinati a realizzare quel traffico telefonico fonte di grandi guadagni per le stesse compagnie telefoniche.</w:t>
      </w:r>
    </w:p>
    <w:p w14:paraId="5CA96518" w14:textId="56649862" w:rsidR="00DC4196" w:rsidRPr="00A85B07" w:rsidRDefault="00AB6610" w:rsidP="00A85B07">
      <w:pPr>
        <w:jc w:val="both"/>
      </w:pPr>
      <w:r>
        <w:t xml:space="preserve">È necessario quindi tutelare gli interessi degli Enti, che subiscono sempre più le politiche aggressive degli operatori di questo settore spinti nella conquista di nuovi spazi nel mercato delle telecomunicazioni. In questo senso i principi contenuti nella sentenza in commento devono rappresentare una solida guida nell’affrontare i rapporti contrattuali con le stesse corporate.   </w:t>
      </w:r>
    </w:p>
    <w:p w14:paraId="4E048848" w14:textId="57339ADD" w:rsidR="00A85B07" w:rsidRPr="00A85B07" w:rsidRDefault="00A85B07" w:rsidP="00A85B07">
      <w:pPr>
        <w:jc w:val="both"/>
      </w:pPr>
      <w:r w:rsidRPr="00A85B07">
        <w:t xml:space="preserve"> </w:t>
      </w:r>
    </w:p>
    <w:p w14:paraId="79F24DB1" w14:textId="77777777" w:rsidR="00A85B07" w:rsidRPr="00A307CE" w:rsidRDefault="00A85B07" w:rsidP="00734776">
      <w:pPr>
        <w:jc w:val="both"/>
      </w:pPr>
    </w:p>
    <w:sectPr w:rsidR="00A85B07" w:rsidRPr="00A307C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43"/>
    <w:rsid w:val="001056E8"/>
    <w:rsid w:val="00166873"/>
    <w:rsid w:val="003442E3"/>
    <w:rsid w:val="00366798"/>
    <w:rsid w:val="00606DE1"/>
    <w:rsid w:val="006672EA"/>
    <w:rsid w:val="00711212"/>
    <w:rsid w:val="00734776"/>
    <w:rsid w:val="008342B4"/>
    <w:rsid w:val="00A307CE"/>
    <w:rsid w:val="00A85B07"/>
    <w:rsid w:val="00AB6610"/>
    <w:rsid w:val="00BD3899"/>
    <w:rsid w:val="00C06343"/>
    <w:rsid w:val="00CD1EA4"/>
    <w:rsid w:val="00DC4196"/>
    <w:rsid w:val="00F37245"/>
    <w:rsid w:val="00F86BD0"/>
    <w:rsid w:val="00FD73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4782"/>
  <w15:chartTrackingRefBased/>
  <w15:docId w15:val="{9030CA94-9088-40F4-8F43-288458B7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06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06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0634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0634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0634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0634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0634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0634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0634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0634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0634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0634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0634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0634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0634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0634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0634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06343"/>
    <w:rPr>
      <w:rFonts w:eastAsiaTheme="majorEastAsia" w:cstheme="majorBidi"/>
      <w:color w:val="272727" w:themeColor="text1" w:themeTint="D8"/>
    </w:rPr>
  </w:style>
  <w:style w:type="paragraph" w:styleId="Titolo">
    <w:name w:val="Title"/>
    <w:basedOn w:val="Normale"/>
    <w:next w:val="Normale"/>
    <w:link w:val="TitoloCarattere"/>
    <w:uiPriority w:val="10"/>
    <w:qFormat/>
    <w:rsid w:val="00C06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0634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0634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0634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0634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06343"/>
    <w:rPr>
      <w:i/>
      <w:iCs/>
      <w:color w:val="404040" w:themeColor="text1" w:themeTint="BF"/>
    </w:rPr>
  </w:style>
  <w:style w:type="paragraph" w:styleId="Paragrafoelenco">
    <w:name w:val="List Paragraph"/>
    <w:basedOn w:val="Normale"/>
    <w:uiPriority w:val="34"/>
    <w:qFormat/>
    <w:rsid w:val="00C06343"/>
    <w:pPr>
      <w:ind w:left="720"/>
      <w:contextualSpacing/>
    </w:pPr>
  </w:style>
  <w:style w:type="character" w:styleId="Enfasiintensa">
    <w:name w:val="Intense Emphasis"/>
    <w:basedOn w:val="Carpredefinitoparagrafo"/>
    <w:uiPriority w:val="21"/>
    <w:qFormat/>
    <w:rsid w:val="00C06343"/>
    <w:rPr>
      <w:i/>
      <w:iCs/>
      <w:color w:val="2F5496" w:themeColor="accent1" w:themeShade="BF"/>
    </w:rPr>
  </w:style>
  <w:style w:type="paragraph" w:styleId="Citazioneintensa">
    <w:name w:val="Intense Quote"/>
    <w:basedOn w:val="Normale"/>
    <w:next w:val="Normale"/>
    <w:link w:val="CitazioneintensaCarattere"/>
    <w:uiPriority w:val="30"/>
    <w:qFormat/>
    <w:rsid w:val="00C06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06343"/>
    <w:rPr>
      <w:i/>
      <w:iCs/>
      <w:color w:val="2F5496" w:themeColor="accent1" w:themeShade="BF"/>
    </w:rPr>
  </w:style>
  <w:style w:type="character" w:styleId="Riferimentointenso">
    <w:name w:val="Intense Reference"/>
    <w:basedOn w:val="Carpredefinitoparagrafo"/>
    <w:uiPriority w:val="32"/>
    <w:qFormat/>
    <w:rsid w:val="00C063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990</Words>
  <Characters>5645</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11</cp:revision>
  <dcterms:created xsi:type="dcterms:W3CDTF">2025-04-11T08:56:00Z</dcterms:created>
  <dcterms:modified xsi:type="dcterms:W3CDTF">2025-04-11T10:17:00Z</dcterms:modified>
</cp:coreProperties>
</file>