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BA24CF" w14:textId="58753054" w:rsidR="006672EA" w:rsidRDefault="00430A4C">
      <w:r>
        <w:t xml:space="preserve">TITOLO: La </w:t>
      </w:r>
      <w:r w:rsidR="00030ECE">
        <w:t>pubblicità in</w:t>
      </w:r>
      <w:r>
        <w:t xml:space="preserve"> area aeroportuale</w:t>
      </w:r>
      <w:r w:rsidR="00B57A6C">
        <w:t xml:space="preserve"> – i cartelli segnaposto degli autonoleggi</w:t>
      </w:r>
    </w:p>
    <w:p w14:paraId="72094A28" w14:textId="67B02588" w:rsidR="00430A4C" w:rsidRDefault="00430A4C">
      <w:r>
        <w:t>Di Alessandro Merciari</w:t>
      </w:r>
    </w:p>
    <w:p w14:paraId="7A345D3F" w14:textId="77777777" w:rsidR="00430A4C" w:rsidRDefault="00430A4C" w:rsidP="00877576">
      <w:pPr>
        <w:jc w:val="both"/>
      </w:pPr>
    </w:p>
    <w:p w14:paraId="31C20048" w14:textId="097E3717" w:rsidR="001543DA" w:rsidRDefault="00030ECE" w:rsidP="00877576">
      <w:pPr>
        <w:jc w:val="both"/>
      </w:pPr>
      <w:r>
        <w:t xml:space="preserve">Con il presente approfondimento affrontiamo un interessante tema legato alle diffusioni pubblicitarie realizzate negli </w:t>
      </w:r>
      <w:r w:rsidR="00F33DFB">
        <w:t>a</w:t>
      </w:r>
      <w:r>
        <w:t>eroport</w:t>
      </w:r>
      <w:r w:rsidR="00B26EFD">
        <w:t>i</w:t>
      </w:r>
      <w:r>
        <w:t xml:space="preserve">. Luoghi </w:t>
      </w:r>
      <w:r w:rsidR="00AD0F9B">
        <w:t>nei quali gli</w:t>
      </w:r>
      <w:r w:rsidR="00B51548">
        <w:t xml:space="preserve"> impianti pubblicitari</w:t>
      </w:r>
      <w:r w:rsidR="007C3AAB">
        <w:t xml:space="preserve">, </w:t>
      </w:r>
      <w:r w:rsidR="00AD0F9B">
        <w:t>anche di</w:t>
      </w:r>
      <w:r w:rsidR="00B51548">
        <w:t xml:space="preserve"> grandissime dimensioni</w:t>
      </w:r>
      <w:r w:rsidR="007C3AAB">
        <w:t>,</w:t>
      </w:r>
      <w:r w:rsidR="00B51548">
        <w:t xml:space="preserve"> ricoprono superfici importanti</w:t>
      </w:r>
      <w:r w:rsidR="007C3AAB">
        <w:t xml:space="preserve">, raggiungendo migliaia di viaggiatori in transito che potranno apprezzare i marchi </w:t>
      </w:r>
      <w:r w:rsidR="00AD0F9B">
        <w:t xml:space="preserve">internazionali </w:t>
      </w:r>
      <w:r w:rsidR="007C3AAB">
        <w:t>esposti.</w:t>
      </w:r>
    </w:p>
    <w:p w14:paraId="4447E72C" w14:textId="733F2FC0" w:rsidR="00430A4C" w:rsidRDefault="00430A4C" w:rsidP="00877576">
      <w:pPr>
        <w:jc w:val="both"/>
      </w:pPr>
      <w:r>
        <w:t xml:space="preserve">Le aree delle aerostazioni, intese sia </w:t>
      </w:r>
      <w:r w:rsidR="00030ECE">
        <w:t xml:space="preserve">come </w:t>
      </w:r>
      <w:r>
        <w:t xml:space="preserve">locali destinati al transito dei passeggeri, biglietterie, area check-in e zone d’imbarco, </w:t>
      </w:r>
      <w:r w:rsidR="00AD0F9B">
        <w:t>sia aree</w:t>
      </w:r>
      <w:r>
        <w:t xml:space="preserve"> esterne alla stazione, con parcheggi in struttura, parcheggi in aree </w:t>
      </w:r>
      <w:r w:rsidR="00030ECE">
        <w:t>scoperte</w:t>
      </w:r>
      <w:r>
        <w:t xml:space="preserve">, e zone </w:t>
      </w:r>
      <w:r w:rsidR="00AD0F9B">
        <w:t xml:space="preserve">dedicate al </w:t>
      </w:r>
      <w:r>
        <w:t xml:space="preserve">noleggio auto, </w:t>
      </w:r>
      <w:r w:rsidR="00AD0F9B">
        <w:t>rappresentano</w:t>
      </w:r>
      <w:r>
        <w:t xml:space="preserve"> tutt</w:t>
      </w:r>
      <w:r w:rsidR="00030ECE">
        <w:t>i luoghi</w:t>
      </w:r>
      <w:r>
        <w:t xml:space="preserve"> rilevanti ai fini della formazione del presupposto pubblicitario</w:t>
      </w:r>
      <w:r w:rsidR="00AD0F9B">
        <w:t xml:space="preserve"> del Canone Unico</w:t>
      </w:r>
      <w:r w:rsidR="00030ECE">
        <w:t>.</w:t>
      </w:r>
    </w:p>
    <w:p w14:paraId="735C1011" w14:textId="54BC9F92" w:rsidR="002376E0" w:rsidRDefault="00B26EFD" w:rsidP="006024C5">
      <w:pPr>
        <w:jc w:val="both"/>
      </w:pPr>
      <w:r>
        <w:t>Abbiamo già approfondito il tema dei luoghi rilevanti ai fini dell’applicazione del nuovo canone, e certamente</w:t>
      </w:r>
      <w:r w:rsidR="002376E0">
        <w:t xml:space="preserve"> le aree aeroportuali </w:t>
      </w:r>
      <w:r w:rsidR="006024C5">
        <w:t xml:space="preserve">sopra richiamate </w:t>
      </w:r>
      <w:r w:rsidR="002376E0">
        <w:t xml:space="preserve">rientrano </w:t>
      </w:r>
      <w:r w:rsidR="006024C5">
        <w:t xml:space="preserve">tutte </w:t>
      </w:r>
      <w:r w:rsidR="002376E0">
        <w:t>nell’ambito applicativo</w:t>
      </w:r>
      <w:r w:rsidR="006024C5">
        <w:t xml:space="preserve"> come luogo aperto al pubblico, ovvero quello al quale è consentito l’accesso solo in determinati momenti. È infatti evidente come tutti i locali interni ed esterni delle stazioni aeroportuale accessibile durante il giorno da un numero indeterminato di persone, rientrino nell’ambito applicativo </w:t>
      </w:r>
      <w:r w:rsidR="00F33DFB">
        <w:t xml:space="preserve">tutte le volte che vengono esposti </w:t>
      </w:r>
      <w:r w:rsidR="006024C5">
        <w:t>messaggi pubblicitari</w:t>
      </w:r>
      <w:r w:rsidR="00F33DFB">
        <w:t xml:space="preserve"> verso i viaggiatori e frequentatori della stazione</w:t>
      </w:r>
      <w:r w:rsidR="006024C5">
        <w:t>.</w:t>
      </w:r>
    </w:p>
    <w:p w14:paraId="06B6415C" w14:textId="3C52A4BB" w:rsidR="00430A4C" w:rsidRDefault="00F33DFB" w:rsidP="00877576">
      <w:pPr>
        <w:jc w:val="both"/>
      </w:pPr>
      <w:r>
        <w:t xml:space="preserve">Detto che in generale tutti </w:t>
      </w:r>
      <w:r w:rsidR="000437DB">
        <w:t xml:space="preserve">i mezzi </w:t>
      </w:r>
      <w:r>
        <w:t xml:space="preserve">collocati nelle diverse aree della stazione aeroportuale rientrano nel presupposto applicativo del CUP, vediamo come </w:t>
      </w:r>
      <w:r w:rsidR="00F15CFF">
        <w:t>a</w:t>
      </w:r>
      <w:r w:rsidR="00430A4C">
        <w:t xml:space="preserve">lcuni impianti vengono posizionati </w:t>
      </w:r>
      <w:r w:rsidR="00030ECE">
        <w:t xml:space="preserve">con </w:t>
      </w:r>
      <w:r w:rsidR="00573660">
        <w:t xml:space="preserve">esclusiva </w:t>
      </w:r>
      <w:r w:rsidR="00030ECE">
        <w:t>finalità</w:t>
      </w:r>
      <w:r w:rsidR="00430A4C">
        <w:t xml:space="preserve"> segnaletica e non pubblicitaria, come ad esempio </w:t>
      </w:r>
      <w:r w:rsidR="00573660">
        <w:t xml:space="preserve">accade con </w:t>
      </w:r>
      <w:r>
        <w:t xml:space="preserve">i </w:t>
      </w:r>
      <w:r w:rsidR="00430A4C">
        <w:t xml:space="preserve">cartelli segnaposto collocati dalle aziende di noleggio, al solo scopo di identificare e numerare i propri stalli di riferimento e di indirizzare </w:t>
      </w:r>
      <w:r w:rsidR="00AD0F9B">
        <w:t xml:space="preserve">i clienti verso </w:t>
      </w:r>
      <w:r w:rsidR="00430A4C">
        <w:t xml:space="preserve">le autovetture, evitando </w:t>
      </w:r>
      <w:r w:rsidR="00AD0F9B">
        <w:t>così</w:t>
      </w:r>
      <w:r w:rsidR="00430A4C">
        <w:t xml:space="preserve">, in questo modo, di creare confusione con le aree riservate ad altre </w:t>
      </w:r>
      <w:r w:rsidR="00AD0F9B">
        <w:t>compagnie</w:t>
      </w:r>
      <w:r w:rsidR="00430A4C">
        <w:t xml:space="preserve"> di noleggio operanti nella medesima area. Tale modalità di segnalazione degli stalli, è comune a tutte le società di noleggio operanti presso</w:t>
      </w:r>
      <w:r w:rsidR="00AD0F9B">
        <w:t xml:space="preserve"> gli a</w:t>
      </w:r>
      <w:r w:rsidR="00430A4C">
        <w:t>eroport</w:t>
      </w:r>
      <w:r w:rsidR="00AD0F9B">
        <w:t>i italiani,</w:t>
      </w:r>
      <w:r w:rsidR="00430A4C">
        <w:t xml:space="preserve"> ed è stata predisposta proprio per evitare che i clienti</w:t>
      </w:r>
      <w:r w:rsidR="00AD0F9B">
        <w:t>, che hanno già sottoscritto un contratto di noleggio,</w:t>
      </w:r>
      <w:r w:rsidR="00430A4C">
        <w:t xml:space="preserve"> si perdano all’interno del</w:t>
      </w:r>
      <w:r w:rsidR="00AD0F9B">
        <w:t xml:space="preserve">l’area senza trovare </w:t>
      </w:r>
      <w:r w:rsidR="00430A4C">
        <w:t xml:space="preserve">in modo semplice e chiaro la macchina ad essi assegnata tramite numeri e colori dedicati. </w:t>
      </w:r>
    </w:p>
    <w:p w14:paraId="556902F0" w14:textId="4614B3E6" w:rsidR="00877576" w:rsidRDefault="00430A4C" w:rsidP="00877576">
      <w:pPr>
        <w:jc w:val="both"/>
      </w:pPr>
      <w:r>
        <w:t>Sul tema</w:t>
      </w:r>
      <w:r w:rsidR="00AD0F9B">
        <w:t xml:space="preserve"> </w:t>
      </w:r>
      <w:r w:rsidR="006024C5">
        <w:t>specifico si</w:t>
      </w:r>
      <w:r>
        <w:t xml:space="preserve"> espressa la Suprema Corte di Cassazione, intervenuta a pronunciarsi su casi </w:t>
      </w:r>
      <w:r w:rsidR="00573660">
        <w:t>dove si</w:t>
      </w:r>
      <w:r>
        <w:t xml:space="preserve"> contestava proprio il carattere pubblicitario del mezzo</w:t>
      </w:r>
      <w:r w:rsidR="00573660">
        <w:t>,</w:t>
      </w:r>
      <w:r>
        <w:t xml:space="preserve"> ritenendo che la funzione di “segno distintivo dell’impresa o del prodotto” (ditta, ragione sociale, marchio) travalicava la mera finalità distintiva, che</w:t>
      </w:r>
      <w:r w:rsidR="00AD0F9B">
        <w:t xml:space="preserve">, come </w:t>
      </w:r>
      <w:proofErr w:type="gramStart"/>
      <w:r w:rsidR="00AD0F9B">
        <w:t xml:space="preserve">noto, </w:t>
      </w:r>
      <w:r>
        <w:t xml:space="preserve"> è</w:t>
      </w:r>
      <w:proofErr w:type="gramEnd"/>
      <w:r>
        <w:t xml:space="preserve"> quella di consentire al consumatore di riconoscere i prodotti o servizi offerti sul mercato dagli altri operatori del settore, orientandone le scelte. </w:t>
      </w:r>
      <w:r w:rsidR="00982156">
        <w:t>I</w:t>
      </w:r>
      <w:r>
        <w:t>n questo senso, si richiama</w:t>
      </w:r>
      <w:r w:rsidR="006024C5">
        <w:t>no</w:t>
      </w:r>
      <w:r>
        <w:t xml:space="preserve"> l</w:t>
      </w:r>
      <w:r w:rsidR="00877576">
        <w:t xml:space="preserve">e </w:t>
      </w:r>
      <w:r w:rsidR="00573660">
        <w:t>sentenze di</w:t>
      </w:r>
      <w:r w:rsidR="006024C5">
        <w:t xml:space="preserve"> </w:t>
      </w:r>
      <w:proofErr w:type="gramStart"/>
      <w:r>
        <w:t>Cass</w:t>
      </w:r>
      <w:r w:rsidR="006024C5">
        <w:t xml:space="preserve">azione </w:t>
      </w:r>
      <w:r>
        <w:t xml:space="preserve"> n.</w:t>
      </w:r>
      <w:proofErr w:type="gramEnd"/>
      <w:r>
        <w:t xml:space="preserve"> 30046/2018; Cass. n.</w:t>
      </w:r>
      <w:r w:rsidR="00877576">
        <w:t xml:space="preserve"> </w:t>
      </w:r>
      <w:r>
        <w:t xml:space="preserve">31707/2018; Cass. n. 8658/2015. </w:t>
      </w:r>
    </w:p>
    <w:p w14:paraId="7EB8417A" w14:textId="1E7537EB" w:rsidR="00877576" w:rsidRDefault="00430A4C" w:rsidP="00877576">
      <w:pPr>
        <w:jc w:val="both"/>
      </w:pPr>
      <w:r>
        <w:t xml:space="preserve">In </w:t>
      </w:r>
      <w:r w:rsidR="00877576">
        <w:t>generale</w:t>
      </w:r>
      <w:r>
        <w:t>, al</w:t>
      </w:r>
      <w:r w:rsidR="00877576">
        <w:t xml:space="preserve"> </w:t>
      </w:r>
      <w:r>
        <w:t>fine di ravvisare o meno la presenza di un messaggio pubblicitario in un</w:t>
      </w:r>
      <w:r w:rsidR="00877576">
        <w:t xml:space="preserve"> </w:t>
      </w:r>
      <w:r>
        <w:t>prodotto riportante il marchio commerciale dell’impresa, è necessario,</w:t>
      </w:r>
      <w:r w:rsidR="00877576">
        <w:t xml:space="preserve"> </w:t>
      </w:r>
      <w:r>
        <w:t>ad avviso della Suprema Corte, attenersi ad alcuni</w:t>
      </w:r>
      <w:r w:rsidR="00877576">
        <w:t xml:space="preserve"> p</w:t>
      </w:r>
      <w:r>
        <w:t>arametri di</w:t>
      </w:r>
      <w:r w:rsidR="00877576">
        <w:t xml:space="preserve"> </w:t>
      </w:r>
      <w:r>
        <w:t>riferimento, tra cui “il luogo ove esso è situato”, “le sue caratteristiche</w:t>
      </w:r>
      <w:r w:rsidR="00877576">
        <w:t xml:space="preserve"> </w:t>
      </w:r>
      <w:r>
        <w:t>strutturali”, le “modalità</w:t>
      </w:r>
      <w:r w:rsidR="00877576">
        <w:t xml:space="preserve"> </w:t>
      </w:r>
      <w:r>
        <w:t>di utilizzo” dello stesso</w:t>
      </w:r>
      <w:r w:rsidR="00877576">
        <w:t>.</w:t>
      </w:r>
      <w:r>
        <w:t xml:space="preserve"> L’indicazione del marchio costituisce, poi, semplicemente</w:t>
      </w:r>
      <w:r w:rsidR="00877576">
        <w:t xml:space="preserve"> </w:t>
      </w:r>
      <w:r>
        <w:t>l’estrinsecazione del</w:t>
      </w:r>
      <w:r w:rsidR="00877576">
        <w:t xml:space="preserve"> </w:t>
      </w:r>
      <w:r>
        <w:t>diritto dell’imprenditore – di cui agli artt. 2563 e ss.</w:t>
      </w:r>
      <w:r w:rsidR="00877576">
        <w:t xml:space="preserve"> </w:t>
      </w:r>
      <w:r>
        <w:t>del Codice Civile – ad utilizzare il proprio segno</w:t>
      </w:r>
      <w:r w:rsidR="00877576">
        <w:t xml:space="preserve"> </w:t>
      </w:r>
      <w:r>
        <w:t>distintivo in via</w:t>
      </w:r>
      <w:r w:rsidR="00877576">
        <w:t xml:space="preserve"> </w:t>
      </w:r>
      <w:r>
        <w:t>esclusiva, al fine di distinguere dinanzi al pubblico dei consumatori i</w:t>
      </w:r>
      <w:r w:rsidR="00877576">
        <w:t xml:space="preserve"> </w:t>
      </w:r>
      <w:r>
        <w:t xml:space="preserve">propri prodotti/servizi da quelli di società concorrenti. </w:t>
      </w:r>
    </w:p>
    <w:p w14:paraId="51C2B3C6" w14:textId="63AA881B" w:rsidR="006024C5" w:rsidRDefault="006024C5" w:rsidP="00877576">
      <w:pPr>
        <w:jc w:val="both"/>
      </w:pPr>
      <w:r>
        <w:t xml:space="preserve">È </w:t>
      </w:r>
      <w:r w:rsidR="00B57A6C">
        <w:t>evidente come quest</w:t>
      </w:r>
      <w:r w:rsidR="00982156">
        <w:t>o</w:t>
      </w:r>
      <w:r w:rsidR="00B57A6C">
        <w:t xml:space="preserve"> sia </w:t>
      </w:r>
      <w:r>
        <w:t xml:space="preserve">un terreno altamente scivoloso, dove contrapposti interessi vanno a scontrarsi. Di certo il dover garantire una funzione </w:t>
      </w:r>
      <w:r w:rsidR="00F85115">
        <w:t xml:space="preserve">segnaletica spesso viene “abusato” per finalità pubblicitarie. Così che </w:t>
      </w:r>
      <w:r w:rsidR="00982156">
        <w:t xml:space="preserve">per </w:t>
      </w:r>
      <w:r w:rsidR="00F85115">
        <w:t>casi come quello dei cartelli</w:t>
      </w:r>
      <w:r w:rsidR="00982156">
        <w:t xml:space="preserve"> identificativi </w:t>
      </w:r>
      <w:r w:rsidR="00F85115">
        <w:t xml:space="preserve">degli stalli </w:t>
      </w:r>
      <w:r w:rsidR="00982156">
        <w:t xml:space="preserve">delle aziende di autonoleggio, </w:t>
      </w:r>
      <w:r w:rsidR="00B57A6C">
        <w:t>occorre capire se, in aggiunta alla finalità di indicazione, si genera</w:t>
      </w:r>
      <w:r w:rsidR="00982156">
        <w:t xml:space="preserve"> comunque</w:t>
      </w:r>
      <w:r w:rsidR="00B57A6C">
        <w:t xml:space="preserve"> il presupposto pubblicitario </w:t>
      </w:r>
      <w:r w:rsidR="00982156">
        <w:t>in quanto</w:t>
      </w:r>
      <w:r w:rsidR="00573660">
        <w:t>,</w:t>
      </w:r>
      <w:r w:rsidR="00982156">
        <w:t xml:space="preserve"> ad esempio</w:t>
      </w:r>
      <w:r w:rsidR="00573660">
        <w:t>,</w:t>
      </w:r>
      <w:r w:rsidR="00B57A6C">
        <w:t xml:space="preserve"> il cartello </w:t>
      </w:r>
      <w:r w:rsidR="00573660">
        <w:t>risulta</w:t>
      </w:r>
      <w:r w:rsidR="00B57A6C">
        <w:t xml:space="preserve"> comunque visibile, per dimensione e localizzazione, anche a soggetti estranei al </w:t>
      </w:r>
      <w:r w:rsidR="00B57A6C">
        <w:lastRenderedPageBreak/>
        <w:t>contratto di noleggio</w:t>
      </w:r>
      <w:r w:rsidR="00573660">
        <w:t>,</w:t>
      </w:r>
      <w:r w:rsidR="00B57A6C">
        <w:t xml:space="preserve"> o</w:t>
      </w:r>
      <w:r w:rsidR="00573660">
        <w:t xml:space="preserve">ppure </w:t>
      </w:r>
      <w:r w:rsidR="00B57A6C">
        <w:t xml:space="preserve">se </w:t>
      </w:r>
      <w:r w:rsidR="00573660">
        <w:t xml:space="preserve">può ritenersi che </w:t>
      </w:r>
      <w:r w:rsidR="00B57A6C">
        <w:t>gener</w:t>
      </w:r>
      <w:r w:rsidR="00573660">
        <w:t>i comunque</w:t>
      </w:r>
      <w:r w:rsidR="00B57A6C">
        <w:t xml:space="preserve"> il presupposto in quanto il mezzo, per le sue caratteristiche e per la grafica utilizzata, miglior</w:t>
      </w:r>
      <w:r w:rsidR="00573660">
        <w:t>i</w:t>
      </w:r>
      <w:r w:rsidR="00982156">
        <w:t xml:space="preserve"> in ogni caso </w:t>
      </w:r>
      <w:r w:rsidR="00B57A6C">
        <w:t xml:space="preserve"> l’immagine del soggetto pubblicizzato</w:t>
      </w:r>
      <w:r w:rsidR="00982156">
        <w:t xml:space="preserve"> facendo</w:t>
      </w:r>
      <w:r w:rsidR="00573660">
        <w:t>lo</w:t>
      </w:r>
      <w:r w:rsidR="00982156">
        <w:t xml:space="preserve"> rientrare  nel presupposto applicativo</w:t>
      </w:r>
      <w:r w:rsidR="00B57A6C">
        <w:t>.</w:t>
      </w:r>
    </w:p>
    <w:p w14:paraId="6B8EA518" w14:textId="5A9FB713" w:rsidR="00573660" w:rsidRPr="00743DCA" w:rsidRDefault="00573660" w:rsidP="00743DCA">
      <w:pPr>
        <w:jc w:val="both"/>
      </w:pPr>
      <w:r>
        <w:t xml:space="preserve">Ricordiamo a questo proposito che il Legislatore ha individuato una soglia di superficie oltre la quale la diffusione </w:t>
      </w:r>
      <w:r w:rsidR="00743DCA">
        <w:t>pubblicitaria</w:t>
      </w:r>
      <w:r>
        <w:t xml:space="preserve"> acquisisce rilevanza ai fino del </w:t>
      </w:r>
      <w:r w:rsidR="00743DCA">
        <w:t>pagamento</w:t>
      </w:r>
      <w:r>
        <w:t xml:space="preserve"> del canone. Al comma 825 art. 1 Legge 160/2019 </w:t>
      </w:r>
      <w:r w:rsidR="00743DCA">
        <w:t xml:space="preserve">infatti </w:t>
      </w:r>
      <w:r>
        <w:t xml:space="preserve">si legge: </w:t>
      </w:r>
      <w:r w:rsidRPr="00743DCA">
        <w:rPr>
          <w:i/>
          <w:iCs/>
        </w:rPr>
        <w:t>“</w:t>
      </w:r>
      <w:r w:rsidR="00743DCA" w:rsidRPr="00743DCA">
        <w:rPr>
          <w:i/>
          <w:iCs/>
        </w:rPr>
        <w:t>Non sono soggette al</w:t>
      </w:r>
      <w:r w:rsidR="00743DCA" w:rsidRPr="00743DCA">
        <w:rPr>
          <w:i/>
          <w:iCs/>
        </w:rPr>
        <w:t xml:space="preserve"> </w:t>
      </w:r>
      <w:r w:rsidR="00743DCA" w:rsidRPr="00743DCA">
        <w:rPr>
          <w:i/>
          <w:iCs/>
        </w:rPr>
        <w:t>canone le superfici inferiori a trecento centimetri</w:t>
      </w:r>
      <w:r w:rsidR="00743DCA" w:rsidRPr="00743DCA">
        <w:rPr>
          <w:i/>
          <w:iCs/>
        </w:rPr>
        <w:t xml:space="preserve"> </w:t>
      </w:r>
      <w:r w:rsidR="00743DCA" w:rsidRPr="00743DCA">
        <w:rPr>
          <w:i/>
          <w:iCs/>
        </w:rPr>
        <w:t>quadrati.</w:t>
      </w:r>
      <w:r w:rsidR="00743DCA" w:rsidRPr="00743DCA">
        <w:rPr>
          <w:i/>
          <w:iCs/>
        </w:rPr>
        <w:t>”</w:t>
      </w:r>
    </w:p>
    <w:p w14:paraId="17787D11" w14:textId="4E909020" w:rsidR="00A13060" w:rsidRDefault="00B57A6C" w:rsidP="00877576">
      <w:pPr>
        <w:jc w:val="both"/>
      </w:pPr>
      <w:r>
        <w:t xml:space="preserve">Impossibile quindi generalizzare la casistica, servirà una verifica puntuale per analizzare le caratteristiche degli impianti e valutare se </w:t>
      </w:r>
      <w:r w:rsidR="00573660">
        <w:t xml:space="preserve">sarà </w:t>
      </w:r>
      <w:r>
        <w:t xml:space="preserve">possibile riconoscere </w:t>
      </w:r>
      <w:r w:rsidR="00982156">
        <w:t xml:space="preserve">la </w:t>
      </w:r>
      <w:r>
        <w:t>sol</w:t>
      </w:r>
      <w:r w:rsidR="00982156">
        <w:t>a</w:t>
      </w:r>
      <w:r>
        <w:t xml:space="preserve"> funzion</w:t>
      </w:r>
      <w:r w:rsidR="00982156">
        <w:t>e</w:t>
      </w:r>
      <w:r>
        <w:t xml:space="preserve"> </w:t>
      </w:r>
      <w:proofErr w:type="spellStart"/>
      <w:r>
        <w:t>indicatori</w:t>
      </w:r>
      <w:r w:rsidR="00982156">
        <w:t>a</w:t>
      </w:r>
      <w:proofErr w:type="spellEnd"/>
      <w:r w:rsidR="00743DCA">
        <w:t>,</w:t>
      </w:r>
      <w:r>
        <w:t xml:space="preserve"> </w:t>
      </w:r>
      <w:r w:rsidR="00743DCA">
        <w:t>applicando</w:t>
      </w:r>
      <w:r>
        <w:t xml:space="preserve"> l’esclusione dal pagamento del canone</w:t>
      </w:r>
      <w:r w:rsidR="00743DCA">
        <w:t xml:space="preserve">, oppure ravvisare comunque un contenuto </w:t>
      </w:r>
      <w:r w:rsidR="00A13060">
        <w:t>pubblicitario.</w:t>
      </w:r>
      <w:r w:rsidR="00982156">
        <w:t xml:space="preserve"> </w:t>
      </w:r>
    </w:p>
    <w:p w14:paraId="16220269" w14:textId="3A991AEF" w:rsidR="00AD0F9B" w:rsidRDefault="00573660" w:rsidP="00877576">
      <w:pPr>
        <w:jc w:val="both"/>
      </w:pPr>
      <w:r>
        <w:t>Diventa</w:t>
      </w:r>
      <w:r w:rsidR="00A13060">
        <w:t xml:space="preserve"> in questo senso</w:t>
      </w:r>
      <w:r>
        <w:t xml:space="preserve"> rilevante la sensibilità del personale chiamato alla valutazione, che non dovrà limitarsi alle valutazioni oggettive</w:t>
      </w:r>
      <w:r w:rsidR="00A13060">
        <w:t xml:space="preserve"> come il limite dimensionale dei 300 cmq</w:t>
      </w:r>
      <w:r>
        <w:t xml:space="preserve">, ma dovrà </w:t>
      </w:r>
      <w:r w:rsidR="00A13060">
        <w:t>considerare il</w:t>
      </w:r>
      <w:r w:rsidR="00A13060">
        <w:t xml:space="preserve"> luogo ove </w:t>
      </w:r>
      <w:r w:rsidR="00A13060">
        <w:t xml:space="preserve">l’impianto </w:t>
      </w:r>
      <w:r w:rsidR="00A13060">
        <w:t>è situato, le</w:t>
      </w:r>
      <w:r w:rsidR="00A13060">
        <w:t xml:space="preserve"> sue</w:t>
      </w:r>
      <w:r w:rsidR="00A13060">
        <w:t xml:space="preserve"> caratteristiche strutturali</w:t>
      </w:r>
      <w:r w:rsidR="00A13060">
        <w:t xml:space="preserve"> e le</w:t>
      </w:r>
      <w:r w:rsidR="00A13060">
        <w:t xml:space="preserve"> modalità di utilizzo</w:t>
      </w:r>
      <w:r w:rsidR="00A13060">
        <w:t>.</w:t>
      </w:r>
    </w:p>
    <w:p w14:paraId="0B2F9DFC" w14:textId="50F4157F" w:rsidR="00430A4C" w:rsidRDefault="00430A4C" w:rsidP="00430A4C"/>
    <w:sectPr w:rsidR="00430A4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09AA"/>
    <w:rsid w:val="00030ECE"/>
    <w:rsid w:val="000437DB"/>
    <w:rsid w:val="001543DA"/>
    <w:rsid w:val="002209AA"/>
    <w:rsid w:val="002376E0"/>
    <w:rsid w:val="003560B8"/>
    <w:rsid w:val="00430A4C"/>
    <w:rsid w:val="00573660"/>
    <w:rsid w:val="006024C5"/>
    <w:rsid w:val="006672EA"/>
    <w:rsid w:val="00743DCA"/>
    <w:rsid w:val="00791093"/>
    <w:rsid w:val="007C3AAB"/>
    <w:rsid w:val="007C4DBD"/>
    <w:rsid w:val="00877576"/>
    <w:rsid w:val="00890D7B"/>
    <w:rsid w:val="00982156"/>
    <w:rsid w:val="00A13060"/>
    <w:rsid w:val="00AD0F9B"/>
    <w:rsid w:val="00B26EFD"/>
    <w:rsid w:val="00B325B8"/>
    <w:rsid w:val="00B51548"/>
    <w:rsid w:val="00B57A6C"/>
    <w:rsid w:val="00C6275B"/>
    <w:rsid w:val="00F15CFF"/>
    <w:rsid w:val="00F33DFB"/>
    <w:rsid w:val="00F85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1D7CD"/>
  <w15:docId w15:val="{626735A9-879A-463F-809C-90DAC40B1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2</Pages>
  <Words>807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Merciari</dc:creator>
  <cp:keywords/>
  <dc:description/>
  <cp:lastModifiedBy>alessandro merciari</cp:lastModifiedBy>
  <cp:revision>10</cp:revision>
  <dcterms:created xsi:type="dcterms:W3CDTF">2024-01-21T15:18:00Z</dcterms:created>
  <dcterms:modified xsi:type="dcterms:W3CDTF">2024-06-05T10:50:00Z</dcterms:modified>
</cp:coreProperties>
</file>