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E0695" w14:textId="771121F2" w:rsidR="00060149" w:rsidRDefault="00570F6B">
      <w:r>
        <w:t xml:space="preserve">Titolo: La tariffa del Canone Mercatale </w:t>
      </w:r>
      <w:r w:rsidR="00966263">
        <w:t>e la sua componente</w:t>
      </w:r>
      <w:r>
        <w:t xml:space="preserve"> TARI</w:t>
      </w:r>
      <w:r w:rsidR="00B5651F">
        <w:t xml:space="preserve"> </w:t>
      </w:r>
    </w:p>
    <w:p w14:paraId="48546A5E" w14:textId="326A4BAE" w:rsidR="00570F6B" w:rsidRDefault="00570F6B" w:rsidP="00570F6B">
      <w:pPr>
        <w:jc w:val="both"/>
      </w:pPr>
      <w:r>
        <w:t xml:space="preserve">Con l’introduzione del Canone Mercatale, ad opera del comma 837 della Legge 160/2019, i Comuni e le Città Metropolitane hanno dovuto affrontare un nuovo </w:t>
      </w:r>
      <w:r w:rsidR="003212B0">
        <w:t xml:space="preserve">e diverso </w:t>
      </w:r>
      <w:r>
        <w:t>approccio di gestione delle occupazioni realizzate in ambito dei mercati svolti sul territorio. Un’entrata che si distingue</w:t>
      </w:r>
      <w:r w:rsidR="003212B0">
        <w:t xml:space="preserve"> da quelle passate e</w:t>
      </w:r>
      <w:r>
        <w:t xml:space="preserve"> dal più generale Canone Unico Patrimoniale, istituito </w:t>
      </w:r>
      <w:r w:rsidR="00AA658F">
        <w:t>e disciplinato</w:t>
      </w:r>
      <w:r>
        <w:t xml:space="preserve"> dai commi precedenti della stessa norma.</w:t>
      </w:r>
    </w:p>
    <w:p w14:paraId="18288D1E" w14:textId="1B477FBB" w:rsidR="00AA658F" w:rsidRDefault="00570F6B" w:rsidP="00570F6B">
      <w:pPr>
        <w:jc w:val="both"/>
      </w:pPr>
      <w:r>
        <w:t xml:space="preserve">Il Canone di concessione per l’occupazione delle aree e degli spazi appartenenti al demanio o al </w:t>
      </w:r>
      <w:r w:rsidR="00AA658F">
        <w:t>patrimonio indisponibile</w:t>
      </w:r>
      <w:r>
        <w:t xml:space="preserve"> destinati a mercati realizzati anche in strutture </w:t>
      </w:r>
      <w:r w:rsidR="00AA658F">
        <w:t>attrezzate, presenta</w:t>
      </w:r>
      <w:r>
        <w:t xml:space="preserve"> alcune caratteristiche che </w:t>
      </w:r>
      <w:r w:rsidR="00AA658F">
        <w:t xml:space="preserve">lo differenziano dal “fratello maggiore” e che </w:t>
      </w:r>
      <w:r w:rsidR="003212B0">
        <w:t xml:space="preserve">giocoforza </w:t>
      </w:r>
      <w:r w:rsidR="00AA658F">
        <w:t xml:space="preserve">devono essere attenzionate dalle Pubbliche Amministrazioni </w:t>
      </w:r>
      <w:r w:rsidR="003212B0">
        <w:t>chiamate</w:t>
      </w:r>
      <w:r w:rsidR="00AA658F">
        <w:t xml:space="preserve"> alla sua </w:t>
      </w:r>
      <w:r w:rsidR="00D75BD1">
        <w:t xml:space="preserve">corretta </w:t>
      </w:r>
      <w:r w:rsidR="00AA658F">
        <w:t>applicazione.</w:t>
      </w:r>
    </w:p>
    <w:p w14:paraId="770DB002" w14:textId="4006F310" w:rsidR="00AA658F" w:rsidRDefault="00AA658F" w:rsidP="00AA658F">
      <w:pPr>
        <w:jc w:val="both"/>
      </w:pPr>
      <w:r>
        <w:t xml:space="preserve">Con l’odierno approfondimento, vediamo come interpretare </w:t>
      </w:r>
      <w:r w:rsidR="003212B0">
        <w:t xml:space="preserve">in particolare </w:t>
      </w:r>
      <w:r>
        <w:t>la disposizione contenuta nel comma 838 che testualmente prevede:</w:t>
      </w:r>
      <w:r w:rsidRPr="00AA658F">
        <w:rPr>
          <w:i/>
          <w:iCs/>
        </w:rPr>
        <w:t xml:space="preserve"> “ Il canone di cui al comma 837 si applica in deroga alle disposizioni concernenti il canone di cui al comma 816 e sostituisce la tassa per l’occupazione di spazi ed aree pubbliche di cui al capo II del decreto legislativo 15 novembre 1993, n. 507, il canone per l’occupazione di spazi ed aree pubbliche, e, limitatamente ai casi di occupazioni temporanee di cui al comma 842 del presente articolo, i prelievi sui rifiuti di cui ai commi 639, 667 e 668 dell’articolo 1 della legge 27 dicembre 2013, n. 147.” </w:t>
      </w:r>
    </w:p>
    <w:p w14:paraId="7DCDF7A0" w14:textId="64785309" w:rsidR="00AA658F" w:rsidRDefault="00AA658F" w:rsidP="00AA658F">
      <w:pPr>
        <w:jc w:val="both"/>
      </w:pPr>
      <w:r>
        <w:t xml:space="preserve">Il Legislatore, per i mercati a carattere temporaneo, quindi </w:t>
      </w:r>
      <w:r w:rsidR="00D75BD1">
        <w:t>svolti c</w:t>
      </w:r>
      <w:r>
        <w:t xml:space="preserve">on frequenza </w:t>
      </w:r>
      <w:r w:rsidR="00A45955">
        <w:t>periodica,</w:t>
      </w:r>
      <w:r w:rsidR="003212B0">
        <w:t xml:space="preserve"> per lo più settimanale,</w:t>
      </w:r>
      <w:r w:rsidR="00A45955">
        <w:t xml:space="preserve"> ha</w:t>
      </w:r>
      <w:r>
        <w:t xml:space="preserve"> disposto l’accorpamento di due entrate distinte, quella che </w:t>
      </w:r>
      <w:r w:rsidR="00D75BD1">
        <w:t xml:space="preserve">fino al 2020 </w:t>
      </w:r>
      <w:r>
        <w:t xml:space="preserve">era legata all’occupazione del suolo pubblico, Tosap o </w:t>
      </w:r>
      <w:proofErr w:type="spellStart"/>
      <w:r>
        <w:t>Cosap</w:t>
      </w:r>
      <w:proofErr w:type="spellEnd"/>
      <w:r>
        <w:t xml:space="preserve">, e quella legata alla Tassa o Tariffa per la raccolta e lo smaltimento dei rifiuti, </w:t>
      </w:r>
      <w:r w:rsidR="00D75BD1">
        <w:t xml:space="preserve">nei distinti regimi di </w:t>
      </w:r>
      <w:r>
        <w:t>TARI, TARIP</w:t>
      </w:r>
      <w:r w:rsidR="00D75BD1">
        <w:t xml:space="preserve"> oppure</w:t>
      </w:r>
      <w:r>
        <w:t xml:space="preserve"> TARIC.</w:t>
      </w:r>
    </w:p>
    <w:p w14:paraId="537BC156" w14:textId="3059CC89" w:rsidR="00D75114" w:rsidRDefault="003212B0" w:rsidP="00AA658F">
      <w:pPr>
        <w:jc w:val="both"/>
      </w:pPr>
      <w:r>
        <w:t>Una importante novità nel contesto delle entrate locali, con l’a</w:t>
      </w:r>
      <w:r w:rsidR="00AA658F">
        <w:t xml:space="preserve">ccorpamento delle due componenti </w:t>
      </w:r>
      <w:r>
        <w:t xml:space="preserve">di prelievo </w:t>
      </w:r>
      <w:r w:rsidR="00AA658F">
        <w:t xml:space="preserve">che si dovrà </w:t>
      </w:r>
      <w:r w:rsidR="00D75BD1">
        <w:t>tradurre</w:t>
      </w:r>
      <w:r w:rsidR="00AA658F">
        <w:t xml:space="preserve"> nell</w:t>
      </w:r>
      <w:r>
        <w:t>’univoca</w:t>
      </w:r>
      <w:r w:rsidR="00AA658F">
        <w:t xml:space="preserve"> determinazione tariffaria</w:t>
      </w:r>
      <w:r>
        <w:t xml:space="preserve">. Tariffa </w:t>
      </w:r>
      <w:r w:rsidR="00AA658F">
        <w:t xml:space="preserve">già caratterizzata da vincoli di </w:t>
      </w:r>
      <w:r w:rsidR="00D75114">
        <w:t>importo</w:t>
      </w:r>
      <w:r w:rsidR="00AA658F">
        <w:t xml:space="preserve"> massim</w:t>
      </w:r>
      <w:r w:rsidR="00D75114">
        <w:t>o non superabile, d</w:t>
      </w:r>
      <w:r w:rsidR="00D75BD1">
        <w:t>a</w:t>
      </w:r>
      <w:r w:rsidR="00D75114">
        <w:t xml:space="preserve"> criteri di </w:t>
      </w:r>
      <w:r w:rsidR="00B56826">
        <w:t>suddivisione</w:t>
      </w:r>
      <w:r w:rsidR="00D75114">
        <w:t xml:space="preserve"> oraria</w:t>
      </w:r>
      <w:r w:rsidR="00D75BD1">
        <w:t xml:space="preserve"> e </w:t>
      </w:r>
      <w:r w:rsidR="00D75114">
        <w:t>d</w:t>
      </w:r>
      <w:r w:rsidR="00D75BD1">
        <w:t>a</w:t>
      </w:r>
      <w:r w:rsidR="00B56826">
        <w:t xml:space="preserve">ll’applicazione di </w:t>
      </w:r>
      <w:r w:rsidR="00D75114">
        <w:t xml:space="preserve">riduzioni obbligatorie </w:t>
      </w:r>
      <w:r w:rsidR="00B56826">
        <w:t>fissate</w:t>
      </w:r>
      <w:r w:rsidR="00D75BD1">
        <w:t xml:space="preserve"> per i mercati settimanali</w:t>
      </w:r>
      <w:r w:rsidR="00D75114">
        <w:t>.</w:t>
      </w:r>
    </w:p>
    <w:p w14:paraId="021BECEB" w14:textId="779CFE15" w:rsidR="00570F6B" w:rsidRDefault="00D75114" w:rsidP="00AA658F">
      <w:pPr>
        <w:jc w:val="both"/>
      </w:pPr>
      <w:r>
        <w:t xml:space="preserve">Un sistema </w:t>
      </w:r>
      <w:r w:rsidR="00B56826">
        <w:t xml:space="preserve">blindato </w:t>
      </w:r>
      <w:r>
        <w:t xml:space="preserve">che il Legislatore ha voluto imporre </w:t>
      </w:r>
      <w:r w:rsidR="00A45955">
        <w:t xml:space="preserve">e </w:t>
      </w:r>
      <w:r>
        <w:t>c</w:t>
      </w:r>
      <w:r w:rsidR="00D75BD1">
        <w:t>he risultò</w:t>
      </w:r>
      <w:r w:rsidR="00B56826">
        <w:t>,</w:t>
      </w:r>
      <w:r w:rsidR="00D75BD1">
        <w:t xml:space="preserve"> fin da</w:t>
      </w:r>
      <w:r w:rsidR="00B56826">
        <w:t xml:space="preserve">lla sua introduzione, </w:t>
      </w:r>
      <w:r>
        <w:t>fortemente</w:t>
      </w:r>
      <w:r w:rsidR="00D75BD1">
        <w:t xml:space="preserve"> limitante</w:t>
      </w:r>
      <w:r>
        <w:t xml:space="preserve"> </w:t>
      </w:r>
      <w:r w:rsidR="00D75BD1">
        <w:t>del</w:t>
      </w:r>
      <w:r>
        <w:t>l’autonomia degli enti territoriali</w:t>
      </w:r>
      <w:r w:rsidR="00B56826">
        <w:t xml:space="preserve"> interessati</w:t>
      </w:r>
      <w:r w:rsidR="00D75BD1">
        <w:t>,</w:t>
      </w:r>
      <w:r>
        <w:t xml:space="preserve"> vincola</w:t>
      </w:r>
      <w:r w:rsidR="00B56826">
        <w:t>ti</w:t>
      </w:r>
      <w:r>
        <w:t xml:space="preserve"> nella determinazione di gettito, </w:t>
      </w:r>
      <w:r w:rsidR="00D75BD1">
        <w:t>con il r</w:t>
      </w:r>
      <w:r>
        <w:t xml:space="preserve">ischio concreto di non riuscire a rispettare i gettiti </w:t>
      </w:r>
      <w:r w:rsidR="00B56826">
        <w:t xml:space="preserve">abitualmente </w:t>
      </w:r>
      <w:r>
        <w:t xml:space="preserve">attesi. </w:t>
      </w:r>
      <w:r w:rsidR="00570F6B" w:rsidRPr="00AA658F">
        <w:t xml:space="preserve">   </w:t>
      </w:r>
    </w:p>
    <w:p w14:paraId="11FABCB5" w14:textId="12EA5020" w:rsidR="00D75114" w:rsidRDefault="00A45955" w:rsidP="00AA658F">
      <w:pPr>
        <w:jc w:val="both"/>
      </w:pPr>
      <w:r>
        <w:t xml:space="preserve">In alcuni casi </w:t>
      </w:r>
      <w:r w:rsidRPr="00A45955">
        <w:t>l</w:t>
      </w:r>
      <w:r w:rsidR="00B56826">
        <w:t xml:space="preserve">a rigida </w:t>
      </w:r>
      <w:r w:rsidRPr="00A45955">
        <w:t xml:space="preserve">impostazione tariffaria voluta dal Legislatore </w:t>
      </w:r>
      <w:r>
        <w:t>ha impedito</w:t>
      </w:r>
      <w:r w:rsidR="003B1918">
        <w:t>, fin dalla sua</w:t>
      </w:r>
      <w:r w:rsidR="00D75BD1">
        <w:t xml:space="preserve"> prima</w:t>
      </w:r>
      <w:r w:rsidR="003B1918">
        <w:t xml:space="preserve"> istituzione,</w:t>
      </w:r>
      <w:r w:rsidRPr="00A45955">
        <w:t xml:space="preserve"> di </w:t>
      </w:r>
      <w:r w:rsidR="003B1918">
        <w:t xml:space="preserve">poter </w:t>
      </w:r>
      <w:r w:rsidRPr="00A45955">
        <w:t xml:space="preserve">applicare </w:t>
      </w:r>
      <w:r w:rsidR="00B56826">
        <w:t xml:space="preserve">una misura di canone pari a quanto veniva richiesto </w:t>
      </w:r>
      <w:r w:rsidRPr="00A45955">
        <w:t xml:space="preserve">con i </w:t>
      </w:r>
      <w:r w:rsidR="00B56826">
        <w:t xml:space="preserve">due </w:t>
      </w:r>
      <w:r w:rsidR="00B56826" w:rsidRPr="00A45955">
        <w:t>precedenti</w:t>
      </w:r>
      <w:r w:rsidR="00B56826" w:rsidRPr="00A45955">
        <w:t xml:space="preserve"> </w:t>
      </w:r>
      <w:r w:rsidRPr="00A45955">
        <w:t>prelievi, in materia di occupazione suolo pubblico e di tassa sui rifiuti giornaliera.</w:t>
      </w:r>
      <w:r w:rsidR="00966263">
        <w:t xml:space="preserve"> Alcune località turistiche, che ospitano mercati commercialmente importanti, avevano fissato tariffe adeguate al beneficio economico che i singoli operatori ritraevano dallo sfruttamento del suolo pubblico. Oggi, in barba ai principi generali, alla potestà regolamentare e agli equilibri finanziari dell’ente, le tariffe sono state ricondotte nella misura disposta dal Legislatore, senza possibilità di deroga se non in misura molto limitata.</w:t>
      </w:r>
    </w:p>
    <w:p w14:paraId="15039F1E" w14:textId="2C9945E3" w:rsidR="003B1918" w:rsidRDefault="003B422D" w:rsidP="00AA658F">
      <w:pPr>
        <w:jc w:val="both"/>
      </w:pPr>
      <w:r>
        <w:t>Ma a</w:t>
      </w:r>
      <w:r w:rsidR="003B1918">
        <w:t>l di là delle difficoltà legate al rispetto dei gettiti attesi</w:t>
      </w:r>
      <w:r w:rsidR="00B56826">
        <w:t>,</w:t>
      </w:r>
      <w:r w:rsidR="003B1918">
        <w:t xml:space="preserve"> e </w:t>
      </w:r>
      <w:r w:rsidR="00B56826">
        <w:t>al giusto</w:t>
      </w:r>
      <w:r w:rsidR="003B1918">
        <w:t xml:space="preserve"> calcolo in base alle ore </w:t>
      </w:r>
      <w:r w:rsidR="00DE31EA">
        <w:t xml:space="preserve">di svolgimento </w:t>
      </w:r>
      <w:r w:rsidR="003B1918">
        <w:t xml:space="preserve">del mercato, come si sono organizzati i Comuni e le Città Metropolitane nell’andare a definire la tariffa in base alle variazioni annuali che si registrano in tema di </w:t>
      </w:r>
      <w:r w:rsidR="00B56826">
        <w:t>prelievo</w:t>
      </w:r>
      <w:r w:rsidR="003B1918">
        <w:t xml:space="preserve"> sui Rifiuti? Come si riesce ad allineare il meccanismo tariffario della tassa o tariffa rifiuti con l’approvazione delle tariffe del mercato? </w:t>
      </w:r>
    </w:p>
    <w:p w14:paraId="71552A8C" w14:textId="1433995A" w:rsidR="003B1918" w:rsidRDefault="003B1918" w:rsidP="00AA658F">
      <w:pPr>
        <w:jc w:val="both"/>
      </w:pPr>
      <w:r>
        <w:t xml:space="preserve">Problematica reale che molte amministrazioni locali non stanno </w:t>
      </w:r>
      <w:r w:rsidR="003B422D">
        <w:t>evidentemente affrontando</w:t>
      </w:r>
      <w:r>
        <w:t xml:space="preserve">. Nel definire le tariffe </w:t>
      </w:r>
      <w:r w:rsidR="003B422D">
        <w:t xml:space="preserve">di questi </w:t>
      </w:r>
      <w:r w:rsidR="00CA7293">
        <w:t>ultimi</w:t>
      </w:r>
      <w:r w:rsidR="003B422D">
        <w:t xml:space="preserve"> anni</w:t>
      </w:r>
      <w:r>
        <w:t xml:space="preserve">, molti enti hanno confermato quelle </w:t>
      </w:r>
      <w:r w:rsidR="00B56826">
        <w:t xml:space="preserve">già </w:t>
      </w:r>
      <w:r>
        <w:t xml:space="preserve">adottate nel primo anno di istituzione del canone, senza </w:t>
      </w:r>
      <w:r w:rsidR="00B56826">
        <w:t xml:space="preserve">evidentemente </w:t>
      </w:r>
      <w:r>
        <w:t xml:space="preserve">valutare le variazioni che la componente legata al prelievo sui rifiuti, nelle </w:t>
      </w:r>
      <w:r w:rsidR="00CA7293">
        <w:t xml:space="preserve">sue </w:t>
      </w:r>
      <w:r>
        <w:t>diverse forme, aveva registrato a seguito dell’approvazione de</w:t>
      </w:r>
      <w:r w:rsidR="00B56826">
        <w:t xml:space="preserve">i </w:t>
      </w:r>
      <w:r>
        <w:t>Pian</w:t>
      </w:r>
      <w:r w:rsidR="00B56826">
        <w:t>i</w:t>
      </w:r>
      <w:r>
        <w:t xml:space="preserve"> Economic</w:t>
      </w:r>
      <w:r w:rsidR="00B56826">
        <w:t>i</w:t>
      </w:r>
      <w:r>
        <w:t xml:space="preserve"> Finanziari</w:t>
      </w:r>
      <w:r w:rsidR="00CA7293">
        <w:t xml:space="preserve"> relativ</w:t>
      </w:r>
      <w:r w:rsidR="00B56826">
        <w:t>i</w:t>
      </w:r>
      <w:r w:rsidR="00CA7293">
        <w:t xml:space="preserve"> il servizio prestato dal gestore</w:t>
      </w:r>
      <w:r w:rsidR="00B56826">
        <w:t xml:space="preserve"> negli anni 2022 e 2023</w:t>
      </w:r>
      <w:r w:rsidR="00DE31EA">
        <w:t>.</w:t>
      </w:r>
    </w:p>
    <w:p w14:paraId="5BFF8D10" w14:textId="03363DD7" w:rsidR="003B1918" w:rsidRDefault="00B56826" w:rsidP="00AA658F">
      <w:pPr>
        <w:jc w:val="both"/>
      </w:pPr>
      <w:r>
        <w:lastRenderedPageBreak/>
        <w:t xml:space="preserve">In generale, quale può </w:t>
      </w:r>
      <w:r w:rsidR="00DE31EA">
        <w:t>essere la</w:t>
      </w:r>
      <w:r w:rsidR="003B1918">
        <w:t xml:space="preserve"> strada </w:t>
      </w:r>
      <w:r>
        <w:t>corretta</w:t>
      </w:r>
      <w:r w:rsidR="003B1918">
        <w:t xml:space="preserve"> da seguire nella costruzione della tariffa </w:t>
      </w:r>
      <w:r w:rsidR="00DE31EA">
        <w:t xml:space="preserve">temporanea per </w:t>
      </w:r>
      <w:r w:rsidR="003B1918">
        <w:t xml:space="preserve">i mercati? Come bilanciare le due componenti, mantenendo da una parte gli equilibri </w:t>
      </w:r>
      <w:r w:rsidR="00DE31EA">
        <w:t>finanziari dell’ente</w:t>
      </w:r>
      <w:r w:rsidR="003B1918">
        <w:t xml:space="preserve"> e dall’altra rispettando tutti i vincoli imposti dal Legislatore</w:t>
      </w:r>
      <w:r w:rsidR="00CA7293">
        <w:t xml:space="preserve">? </w:t>
      </w:r>
    </w:p>
    <w:p w14:paraId="6312DFCB" w14:textId="42FB0BC5" w:rsidR="00C341A1" w:rsidRDefault="003B1918" w:rsidP="00AA658F">
      <w:pPr>
        <w:jc w:val="both"/>
      </w:pPr>
      <w:r>
        <w:t xml:space="preserve">Evidentemente, nel corso </w:t>
      </w:r>
      <w:r w:rsidR="00DE31EA">
        <w:t>di questi</w:t>
      </w:r>
      <w:r>
        <w:t xml:space="preserve"> anni, le due componenti </w:t>
      </w:r>
      <w:r w:rsidR="00CA7293">
        <w:t xml:space="preserve">hanno </w:t>
      </w:r>
      <w:r>
        <w:t>fluttua</w:t>
      </w:r>
      <w:r w:rsidR="00CA7293">
        <w:t>to</w:t>
      </w:r>
      <w:r>
        <w:t xml:space="preserve"> all’interno dell’unica tariffa, con variazioni che</w:t>
      </w:r>
      <w:r w:rsidR="00C341A1">
        <w:t xml:space="preserve"> non</w:t>
      </w:r>
      <w:r>
        <w:t xml:space="preserve"> </w:t>
      </w:r>
      <w:r w:rsidR="00CA7293">
        <w:t>hanno</w:t>
      </w:r>
      <w:r>
        <w:t xml:space="preserve"> trova</w:t>
      </w:r>
      <w:r w:rsidR="00CA7293">
        <w:t>to</w:t>
      </w:r>
      <w:r>
        <w:t xml:space="preserve"> effettiva modifica </w:t>
      </w:r>
      <w:r w:rsidR="00C341A1">
        <w:t>n</w:t>
      </w:r>
      <w:r>
        <w:t xml:space="preserve">ell’importo finale </w:t>
      </w:r>
      <w:r w:rsidR="00C341A1">
        <w:t xml:space="preserve">ma </w:t>
      </w:r>
      <w:r w:rsidR="00B56826">
        <w:t xml:space="preserve">evidentemente </w:t>
      </w:r>
      <w:r w:rsidR="00C341A1">
        <w:t xml:space="preserve">solo </w:t>
      </w:r>
      <w:r>
        <w:t xml:space="preserve">con </w:t>
      </w:r>
      <w:r w:rsidR="00033A0A">
        <w:t>un sistema</w:t>
      </w:r>
      <w:r w:rsidR="00B56826">
        <w:t xml:space="preserve"> invisibile </w:t>
      </w:r>
      <w:r w:rsidR="00033A0A">
        <w:t>di travaso da una componente all’altra a seconda</w:t>
      </w:r>
      <w:r w:rsidR="00C341A1">
        <w:t xml:space="preserve"> delle variazioni TARI registrate a livello complessivo.</w:t>
      </w:r>
    </w:p>
    <w:p w14:paraId="4C77C6AE" w14:textId="2EC7A2E5" w:rsidR="0081115B" w:rsidRDefault="00C341A1" w:rsidP="00AA658F">
      <w:pPr>
        <w:jc w:val="both"/>
      </w:pPr>
      <w:r>
        <w:t>Il meccanismo di definizione della tariffa TARI</w:t>
      </w:r>
      <w:r w:rsidR="00B719F5">
        <w:t>,</w:t>
      </w:r>
      <w:r>
        <w:t xml:space="preserve"> e quindi a cascata </w:t>
      </w:r>
      <w:r w:rsidR="0081115B">
        <w:t>de</w:t>
      </w:r>
      <w:r>
        <w:t xml:space="preserve">lla componente all’interno della tariffa del Canone Mercatale, </w:t>
      </w:r>
      <w:r w:rsidR="00536BE7">
        <w:t>impone</w:t>
      </w:r>
      <w:r>
        <w:t xml:space="preserve"> </w:t>
      </w:r>
      <w:r w:rsidR="00B56826">
        <w:t xml:space="preserve">un calcolo che permetta </w:t>
      </w:r>
      <w:r>
        <w:t>la copertura integrale del PEF tra le diverse utenze domestiche e non domestiche riferite agli immobili e alle aree operative condott</w:t>
      </w:r>
      <w:r w:rsidR="00B719F5">
        <w:t>e</w:t>
      </w:r>
      <w:r>
        <w:t xml:space="preserve"> nel territorio comunale. </w:t>
      </w:r>
    </w:p>
    <w:p w14:paraId="03DA76A0" w14:textId="3BC0E9FB" w:rsidR="00B719F5" w:rsidRDefault="00C341A1" w:rsidP="00AA658F">
      <w:pPr>
        <w:jc w:val="both"/>
      </w:pPr>
      <w:r>
        <w:t>Ogni anno</w:t>
      </w:r>
      <w:r w:rsidR="0081115B">
        <w:t xml:space="preserve"> così</w:t>
      </w:r>
      <w:r>
        <w:t xml:space="preserve"> i Comuni elaborano le nuove tariffe</w:t>
      </w:r>
      <w:r w:rsidR="0081115B">
        <w:t>,</w:t>
      </w:r>
      <w:r>
        <w:t xml:space="preserve"> sulla base delle consistenze delle diverse tipologie di </w:t>
      </w:r>
      <w:r w:rsidR="00B719F5">
        <w:t xml:space="preserve">abitazioni e </w:t>
      </w:r>
      <w:r>
        <w:t>attività e</w:t>
      </w:r>
      <w:r w:rsidR="00B719F5">
        <w:t>,</w:t>
      </w:r>
      <w:r>
        <w:t xml:space="preserve"> in ossequio ai coefficienti di produzione di rifiuti urbani </w:t>
      </w:r>
      <w:r w:rsidR="0081115B">
        <w:t>e al</w:t>
      </w:r>
      <w:r>
        <w:t xml:space="preserve"> principio</w:t>
      </w:r>
      <w:r w:rsidR="0081115B">
        <w:t xml:space="preserve"> di</w:t>
      </w:r>
      <w:r>
        <w:t xml:space="preserve"> “chi inquina paga”</w:t>
      </w:r>
      <w:r w:rsidR="0081115B">
        <w:t xml:space="preserve">, </w:t>
      </w:r>
      <w:r w:rsidR="00B719F5">
        <w:t xml:space="preserve">definiscono l’impianto tariffario necessario per la </w:t>
      </w:r>
      <w:r w:rsidR="0081115B">
        <w:t xml:space="preserve">copertura </w:t>
      </w:r>
      <w:r w:rsidR="00B719F5">
        <w:t xml:space="preserve">integrale </w:t>
      </w:r>
      <w:r w:rsidR="00640741">
        <w:t>del PEF.</w:t>
      </w:r>
    </w:p>
    <w:p w14:paraId="7B2C3CA7" w14:textId="7BFD0D8A" w:rsidR="00640741" w:rsidRDefault="00640741" w:rsidP="00AA658F">
      <w:pPr>
        <w:jc w:val="both"/>
      </w:pPr>
      <w:r>
        <w:t xml:space="preserve"> Peraltro, d</w:t>
      </w:r>
      <w:r w:rsidRPr="00640741">
        <w:t xml:space="preserve">allo scorso anno, l'approvazione delle tariffe </w:t>
      </w:r>
      <w:r w:rsidR="00B719F5">
        <w:t xml:space="preserve">TARI </w:t>
      </w:r>
      <w:r w:rsidRPr="00640741">
        <w:t xml:space="preserve">è stata separata da quella del bilancio di previsione. L'articolo 3, comma 5-quinquies, del Dl 228/2021 ha stabilito che l'approvazione delle tariffe delle </w:t>
      </w:r>
      <w:r w:rsidR="00B719F5">
        <w:t>TARI</w:t>
      </w:r>
      <w:r>
        <w:t>,</w:t>
      </w:r>
      <w:r w:rsidRPr="00640741">
        <w:t xml:space="preserve"> e della tariffa corrispettiva</w:t>
      </w:r>
      <w:r>
        <w:t>,</w:t>
      </w:r>
      <w:r w:rsidRPr="00640741">
        <w:t xml:space="preserve"> avviene ordinariamente entro il 30 aprile di ogni anno. Entro lo stesso termine deve essere approvato il piano finanziario del servizio integrato di gestione dei rifiuti, atto presupposto alla determinazione delle tariffe del tributo</w:t>
      </w:r>
      <w:r>
        <w:t>.</w:t>
      </w:r>
    </w:p>
    <w:p w14:paraId="049E0158" w14:textId="26FB51B0" w:rsidR="009B318E" w:rsidRDefault="00640741" w:rsidP="00AA658F">
      <w:pPr>
        <w:jc w:val="both"/>
      </w:pPr>
      <w:r>
        <w:t xml:space="preserve">Come comportarsi di conseguenza con la tariffa </w:t>
      </w:r>
      <w:r w:rsidR="00536BE7">
        <w:t xml:space="preserve">del </w:t>
      </w:r>
      <w:r>
        <w:t xml:space="preserve">Canone Mercatale? Inevitabili i riflessi anche su questa </w:t>
      </w:r>
      <w:r w:rsidR="00536BE7">
        <w:t>entrata</w:t>
      </w:r>
      <w:r>
        <w:t xml:space="preserve"> che dovrebbe seguire le stesse sorti della tariffa TARI deliberata. </w:t>
      </w:r>
    </w:p>
    <w:p w14:paraId="4ACD78CC" w14:textId="69FBD6B0" w:rsidR="00823F9C" w:rsidRDefault="009B318E" w:rsidP="00AA658F">
      <w:pPr>
        <w:jc w:val="both"/>
      </w:pPr>
      <w:r>
        <w:t xml:space="preserve">Alcuni comuni hanno studiato </w:t>
      </w:r>
      <w:r w:rsidR="00B719F5">
        <w:t xml:space="preserve">un meccanismo di calcolo basato su </w:t>
      </w:r>
      <w:r>
        <w:t xml:space="preserve">un mini PEF proprio dedicato al servizio di raccolta e </w:t>
      </w:r>
      <w:r w:rsidR="00B719F5">
        <w:t>smaltimento</w:t>
      </w:r>
      <w:r>
        <w:t xml:space="preserve"> dei rifiuti eseguiti dal gestore per i mercati svolti nell’ambito comunale, altri invece hanno mantenuto il rapporto sulla tariffa </w:t>
      </w:r>
      <w:r w:rsidR="00B719F5">
        <w:t xml:space="preserve">annuale </w:t>
      </w:r>
      <w:r>
        <w:t xml:space="preserve">basata sul PEF complessivo. </w:t>
      </w:r>
      <w:r w:rsidR="00B719F5">
        <w:t xml:space="preserve">In ogni caso in entrambe le ipotesi, la modulazione della tariffa </w:t>
      </w:r>
      <w:r>
        <w:t>del Canone mercatale</w:t>
      </w:r>
      <w:r w:rsidR="00B719F5">
        <w:t xml:space="preserve"> </w:t>
      </w:r>
      <w:r w:rsidR="002E4E57">
        <w:t>ha variato</w:t>
      </w:r>
      <w:r w:rsidR="00B719F5">
        <w:t xml:space="preserve"> </w:t>
      </w:r>
      <w:r>
        <w:t xml:space="preserve">in base all’andamento della componente TARI, mantenendo </w:t>
      </w:r>
      <w:r w:rsidR="002E4E57">
        <w:t xml:space="preserve">ferma la componente di suolo pubblico e sempre ben </w:t>
      </w:r>
      <w:r w:rsidR="00B719F5">
        <w:t xml:space="preserve">a mente </w:t>
      </w:r>
      <w:r>
        <w:t xml:space="preserve">il </w:t>
      </w:r>
      <w:r w:rsidR="002E4E57">
        <w:t xml:space="preserve">rispetto del </w:t>
      </w:r>
      <w:r>
        <w:t xml:space="preserve">tetto massimo </w:t>
      </w:r>
      <w:r w:rsidR="00B719F5">
        <w:t>invalicabile</w:t>
      </w:r>
      <w:r>
        <w:t>.</w:t>
      </w:r>
    </w:p>
    <w:p w14:paraId="348A76A8" w14:textId="77777777" w:rsidR="00BB7E60" w:rsidRDefault="00966263" w:rsidP="00AA658F">
      <w:pPr>
        <w:jc w:val="both"/>
      </w:pPr>
      <w:r>
        <w:t>Molte</w:t>
      </w:r>
      <w:r w:rsidR="0035489C">
        <w:t xml:space="preserve"> amministrazioni invece</w:t>
      </w:r>
      <w:r w:rsidR="00BB7E60">
        <w:t>,</w:t>
      </w:r>
      <w:r w:rsidR="0035489C">
        <w:t xml:space="preserve"> in questi ultimi due anni, </w:t>
      </w:r>
      <w:r w:rsidR="00823F9C">
        <w:t xml:space="preserve">non hanno </w:t>
      </w:r>
      <w:r w:rsidR="00A15805">
        <w:t xml:space="preserve">evidentemente </w:t>
      </w:r>
      <w:r w:rsidR="0035489C">
        <w:t xml:space="preserve">preso in considerazione le variazioni intervenute sulla </w:t>
      </w:r>
      <w:r w:rsidR="00823F9C">
        <w:t>tariffa TARI</w:t>
      </w:r>
      <w:r w:rsidR="0035489C">
        <w:t xml:space="preserve"> andando a riconfermare la tariffa del Canone Mercatale nella stessa misura fissata nel 2021. Ma come è stato possibile? Probabile che alcuni Comuni abbiano scelto di mantenere la tariffa finale a carico dell’operatore ambulante uguale al primo anno di applicazione, andando quindi a travasare una parte della componente di suolo in quella dedicata alla copertura dei costi TARI, in modo da lasciare inalterato il carico fiscale per questa categoria. Tuttavia è </w:t>
      </w:r>
      <w:r w:rsidR="00BB7E60">
        <w:t xml:space="preserve">altrettanto </w:t>
      </w:r>
      <w:r w:rsidR="0035489C">
        <w:t xml:space="preserve">verosimile che </w:t>
      </w:r>
      <w:r w:rsidR="00BB7E60">
        <w:t>altre</w:t>
      </w:r>
      <w:r w:rsidR="0035489C">
        <w:t xml:space="preserve"> amministrazioni locali, non abbiano semplicemente valutato e ricalcolato l’impianto tariffario del Canone</w:t>
      </w:r>
      <w:r w:rsidR="00BB7E60">
        <w:t xml:space="preserve"> Mercatale</w:t>
      </w:r>
      <w:r w:rsidR="0035489C">
        <w:t xml:space="preserve"> in ragione delle modifiche intervenute nella tariffa TARI annuale, rinunciando così ad un provento che dovrebbe concorrere, assieme alle altre categorie di utenze, alla copertura integrale dei costi del servizio.</w:t>
      </w:r>
    </w:p>
    <w:p w14:paraId="5FB8F8A2" w14:textId="6D3CD8C4" w:rsidR="003B1918" w:rsidRDefault="0035489C" w:rsidP="00AA658F">
      <w:pPr>
        <w:jc w:val="both"/>
      </w:pPr>
      <w:r>
        <w:t xml:space="preserve"> Perché i costi </w:t>
      </w:r>
      <w:r w:rsidR="00BB7E60">
        <w:t xml:space="preserve">indicati </w:t>
      </w:r>
      <w:r>
        <w:t>nel PEF</w:t>
      </w:r>
      <w:r w:rsidR="00BB7E60">
        <w:t xml:space="preserve"> </w:t>
      </w:r>
      <w:proofErr w:type="gramStart"/>
      <w:r w:rsidR="00BB7E60">
        <w:t xml:space="preserve">e </w:t>
      </w:r>
      <w:r>
        <w:t xml:space="preserve"> legati</w:t>
      </w:r>
      <w:proofErr w:type="gramEnd"/>
      <w:r>
        <w:t xml:space="preserve"> allo svolgimento dei mercati non sono proprio banali. Lo spazzamento delle strade dopo lo svolgimento del mercato rappresenta un costo importante da sostenere</w:t>
      </w:r>
      <w:r w:rsidR="00BB7E60">
        <w:t xml:space="preserve"> per i Comuni</w:t>
      </w:r>
      <w:r>
        <w:t xml:space="preserve">, così come la raccolta e lo smaltimento dei rifiuti lasciati dagli operatori del commercio ambulante, </w:t>
      </w:r>
      <w:r w:rsidR="00BB7E60">
        <w:t>tanto</w:t>
      </w:r>
      <w:r>
        <w:t xml:space="preserve"> che si ritiene corretto operare le variazioni annuali</w:t>
      </w:r>
      <w:r w:rsidR="001735FE">
        <w:t>,</w:t>
      </w:r>
      <w:r>
        <w:t xml:space="preserve"> che </w:t>
      </w:r>
      <w:r w:rsidR="001735FE">
        <w:t xml:space="preserve">già </w:t>
      </w:r>
      <w:r>
        <w:t xml:space="preserve">ogni categoria di utenza deve sopportare quando il costo del servizio di gestione dei rifiuti aumenta a </w:t>
      </w:r>
      <w:r w:rsidR="001735FE">
        <w:t>carico</w:t>
      </w:r>
      <w:r>
        <w:t xml:space="preserve"> dell</w:t>
      </w:r>
      <w:r w:rsidR="001735FE">
        <w:t>’inter</w:t>
      </w:r>
      <w:r>
        <w:t xml:space="preserve">a comunità. </w:t>
      </w:r>
      <w:r w:rsidR="00240578">
        <w:t>Solo dopo aver raggiunto la soglia di a</w:t>
      </w:r>
      <w:r w:rsidR="00FD65D0">
        <w:t>u</w:t>
      </w:r>
      <w:r w:rsidR="00240578">
        <w:t xml:space="preserve">mento massimo consentito, ci dovremmo porre il problema di come sopportare </w:t>
      </w:r>
      <w:r w:rsidR="001735FE">
        <w:t>gli eventuali</w:t>
      </w:r>
      <w:r w:rsidR="00240578">
        <w:t xml:space="preserve"> maggiori costi </w:t>
      </w:r>
      <w:r w:rsidR="00FD65D0">
        <w:t>che non possiamo imputare alle occupazioni temporanee realizzate nei mercati, ma fino ad allora è doveroso operare gli aumenti necessari nel rispet</w:t>
      </w:r>
      <w:r w:rsidR="001735FE">
        <w:t>to di tutti i contribuenti.</w:t>
      </w:r>
      <w:r>
        <w:t xml:space="preserve"> </w:t>
      </w:r>
    </w:p>
    <w:p w14:paraId="3E1CFE1B" w14:textId="75DA8A7B" w:rsidR="003B1918" w:rsidRDefault="003B1918" w:rsidP="00AA658F">
      <w:pPr>
        <w:jc w:val="both"/>
      </w:pPr>
      <w:r>
        <w:t xml:space="preserve"> </w:t>
      </w:r>
    </w:p>
    <w:sectPr w:rsidR="003B191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F1A"/>
    <w:rsid w:val="00033A0A"/>
    <w:rsid w:val="00060149"/>
    <w:rsid w:val="001735FE"/>
    <w:rsid w:val="00240578"/>
    <w:rsid w:val="002E4E57"/>
    <w:rsid w:val="003212B0"/>
    <w:rsid w:val="0035489C"/>
    <w:rsid w:val="003B1918"/>
    <w:rsid w:val="003B422D"/>
    <w:rsid w:val="00536BE7"/>
    <w:rsid w:val="00570F6B"/>
    <w:rsid w:val="00640741"/>
    <w:rsid w:val="0081115B"/>
    <w:rsid w:val="00823F9C"/>
    <w:rsid w:val="008E3F1A"/>
    <w:rsid w:val="00966263"/>
    <w:rsid w:val="009B318E"/>
    <w:rsid w:val="00A15805"/>
    <w:rsid w:val="00A45955"/>
    <w:rsid w:val="00AA658F"/>
    <w:rsid w:val="00B5651F"/>
    <w:rsid w:val="00B56826"/>
    <w:rsid w:val="00B719F5"/>
    <w:rsid w:val="00BB7E60"/>
    <w:rsid w:val="00C341A1"/>
    <w:rsid w:val="00CA7293"/>
    <w:rsid w:val="00D75114"/>
    <w:rsid w:val="00D75BD1"/>
    <w:rsid w:val="00DE31EA"/>
    <w:rsid w:val="00FD65D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7F945"/>
  <w15:chartTrackingRefBased/>
  <w15:docId w15:val="{AF1CC50D-C92D-4C94-B2E9-D881914E2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5860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2</Pages>
  <Words>1271</Words>
  <Characters>7251</Characters>
  <Application>Microsoft Office Word</Application>
  <DocSecurity>0</DocSecurity>
  <Lines>60</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16</cp:revision>
  <dcterms:created xsi:type="dcterms:W3CDTF">2023-10-31T09:19:00Z</dcterms:created>
  <dcterms:modified xsi:type="dcterms:W3CDTF">2023-10-31T15:27:00Z</dcterms:modified>
</cp:coreProperties>
</file>