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7D8C" w14:textId="714AE90F" w:rsidR="00F72468" w:rsidRPr="00F72468" w:rsidRDefault="00F72468" w:rsidP="000E1734">
      <w:r w:rsidRPr="00F72468">
        <w:t xml:space="preserve">Titolo: </w:t>
      </w:r>
      <w:r w:rsidR="00F70C2F">
        <w:t xml:space="preserve">Legge Finanziaria 2025 </w:t>
      </w:r>
      <w:r w:rsidR="00D01C87">
        <w:t>–</w:t>
      </w:r>
      <w:r w:rsidR="00F70C2F">
        <w:t xml:space="preserve"> </w:t>
      </w:r>
      <w:r w:rsidR="00D01C87">
        <w:t>analisi delle</w:t>
      </w:r>
      <w:r w:rsidRPr="00F72468">
        <w:t xml:space="preserve"> </w:t>
      </w:r>
      <w:r w:rsidR="00CD66EA">
        <w:t xml:space="preserve">modifiche alla disciplina CUP </w:t>
      </w:r>
    </w:p>
    <w:p w14:paraId="23A3C59C" w14:textId="3AB12B84" w:rsidR="00F72468" w:rsidRPr="00F72468" w:rsidRDefault="00F72468" w:rsidP="000E1734">
      <w:r w:rsidRPr="00F72468">
        <w:t>Di Alessandro Merciari</w:t>
      </w:r>
    </w:p>
    <w:p w14:paraId="6F27243B" w14:textId="4778F4BC" w:rsidR="00C274FD" w:rsidRPr="00C81843" w:rsidRDefault="00FC2F1D" w:rsidP="00FC2F1D">
      <w:pPr>
        <w:jc w:val="both"/>
      </w:pPr>
      <w:r w:rsidRPr="00FC2F1D">
        <w:t xml:space="preserve">La Legge Finanziaria </w:t>
      </w:r>
      <w:r w:rsidR="00D65DEB">
        <w:t xml:space="preserve">2025 </w:t>
      </w:r>
      <w:r w:rsidR="00CD66EA">
        <w:t xml:space="preserve">ha apportato alcune modifiche alla disciplina prevista </w:t>
      </w:r>
      <w:r w:rsidRPr="00FC2F1D">
        <w:t>in ma</w:t>
      </w:r>
      <w:r>
        <w:t>t</w:t>
      </w:r>
      <w:r w:rsidRPr="00FC2F1D">
        <w:t>eria di Canone Unico.</w:t>
      </w:r>
      <w:r w:rsidR="00C81843">
        <w:t xml:space="preserve"> Si tratta </w:t>
      </w:r>
      <w:r w:rsidR="00CD66EA">
        <w:t xml:space="preserve">per lo più </w:t>
      </w:r>
      <w:r w:rsidR="00C81843">
        <w:t>di modifiche</w:t>
      </w:r>
      <w:r w:rsidR="00CD66EA">
        <w:t xml:space="preserve"> poco incisive sulla gestione quotidiana dell’entrata che vanno ad interessare solo alcuni commi della normativa dedicata alla nuova entrata voluta in sostituzione dei prelievi dedicati alle occupazioni di suolo pubblico e alle diffusioni pubblicitarie.</w:t>
      </w:r>
    </w:p>
    <w:p w14:paraId="09351505" w14:textId="38ED4D9C" w:rsidR="009B4984" w:rsidRDefault="00CD66EA" w:rsidP="00C81843">
      <w:pPr>
        <w:jc w:val="both"/>
      </w:pPr>
      <w:r>
        <w:t>Queste</w:t>
      </w:r>
      <w:r w:rsidR="00C81843" w:rsidRPr="00C81843">
        <w:t xml:space="preserve"> modifiche</w:t>
      </w:r>
      <w:r>
        <w:t xml:space="preserve"> sono </w:t>
      </w:r>
      <w:r w:rsidR="00C81843" w:rsidRPr="00C81843">
        <w:t>contenute n</w:t>
      </w:r>
      <w:r>
        <w:t>e</w:t>
      </w:r>
      <w:r w:rsidR="00C81843" w:rsidRPr="00C81843">
        <w:t>l comma 757 della Legg</w:t>
      </w:r>
      <w:r w:rsidR="00F70C2F">
        <w:t>e</w:t>
      </w:r>
      <w:r w:rsidR="00C81843" w:rsidRPr="00C81843">
        <w:t xml:space="preserve"> </w:t>
      </w:r>
      <w:r w:rsidR="000E1734" w:rsidRPr="00C81843">
        <w:t>30 dicembre 2024, n. 207</w:t>
      </w:r>
      <w:r w:rsidR="009B4984">
        <w:t xml:space="preserve">, </w:t>
      </w:r>
      <w:r>
        <w:t xml:space="preserve">oltre che nel </w:t>
      </w:r>
      <w:r w:rsidR="00F70C2F">
        <w:t>comma 666</w:t>
      </w:r>
      <w:r w:rsidR="009B4984">
        <w:t xml:space="preserve"> con il quale è stata disposta la proroga delle agevolazioni già previste per </w:t>
      </w:r>
      <w:r w:rsidR="00A9579F" w:rsidRPr="00A9579F">
        <w:t>le attività con sede legale od operativa nei territori delle regioni Abruzzo, Lazio, Marche e Umbria, interessati dagli eventi sismici</w:t>
      </w:r>
      <w:r w:rsidR="00F70C2F">
        <w:t xml:space="preserve"> degli scorsi anni</w:t>
      </w:r>
      <w:r w:rsidR="009B4984">
        <w:t>.</w:t>
      </w:r>
      <w:r w:rsidR="001D4F7C">
        <w:t xml:space="preserve"> </w:t>
      </w:r>
    </w:p>
    <w:p w14:paraId="18A3FA06" w14:textId="76AE9D3C" w:rsidR="00CD66EA" w:rsidRDefault="00CD66EA" w:rsidP="00C81843">
      <w:pPr>
        <w:jc w:val="both"/>
      </w:pPr>
      <w:r>
        <w:t xml:space="preserve">Con il presente approfondimento analizziamo puntualmente le </w:t>
      </w:r>
      <w:r w:rsidR="00F70C2F">
        <w:t xml:space="preserve">5 </w:t>
      </w:r>
      <w:r>
        <w:t xml:space="preserve">modifiche apportate dalla nuova </w:t>
      </w:r>
      <w:r w:rsidR="00F70C2F">
        <w:t>L</w:t>
      </w:r>
      <w:r>
        <w:t xml:space="preserve">egge Finanziaria. Si tratta di interventi che coinvolgono </w:t>
      </w:r>
      <w:r w:rsidR="00F54C09">
        <w:t>solamente tre</w:t>
      </w:r>
      <w:r>
        <w:t xml:space="preserve"> commi</w:t>
      </w:r>
      <w:r w:rsidRPr="00CD66EA">
        <w:t xml:space="preserve"> </w:t>
      </w:r>
      <w:r>
        <w:t>della Legge 160/2019: il comma 817, il comma 821</w:t>
      </w:r>
      <w:r w:rsidR="00F54C09">
        <w:t xml:space="preserve"> (</w:t>
      </w:r>
      <w:r>
        <w:t>letter</w:t>
      </w:r>
      <w:r w:rsidR="00F54C09">
        <w:t>e</w:t>
      </w:r>
      <w:r>
        <w:t xml:space="preserve"> D e F</w:t>
      </w:r>
      <w:r w:rsidR="00F54C09">
        <w:t xml:space="preserve">) e </w:t>
      </w:r>
      <w:r>
        <w:t xml:space="preserve">il comma 825.   </w:t>
      </w:r>
    </w:p>
    <w:p w14:paraId="76FC4893" w14:textId="2B9A9FD8" w:rsidR="00CD66EA" w:rsidRPr="00CD66EA" w:rsidRDefault="00CD66EA" w:rsidP="00C81843">
      <w:pPr>
        <w:jc w:val="both"/>
        <w:rPr>
          <w:b/>
          <w:bCs/>
        </w:rPr>
      </w:pPr>
      <w:r w:rsidRPr="00CD66EA">
        <w:rPr>
          <w:b/>
          <w:bCs/>
        </w:rPr>
        <w:t xml:space="preserve">La prima modifica: </w:t>
      </w:r>
      <w:r w:rsidR="00250C46">
        <w:rPr>
          <w:b/>
          <w:bCs/>
        </w:rPr>
        <w:t xml:space="preserve">lettera A comma 757 - </w:t>
      </w:r>
      <w:r w:rsidRPr="00CD66EA">
        <w:rPr>
          <w:b/>
          <w:bCs/>
        </w:rPr>
        <w:t>l’invarianza di gettito</w:t>
      </w:r>
      <w:r w:rsidR="00250C46">
        <w:rPr>
          <w:b/>
          <w:bCs/>
        </w:rPr>
        <w:t xml:space="preserve"> (comma 817 L.160/2019)</w:t>
      </w:r>
    </w:p>
    <w:p w14:paraId="2B080E30" w14:textId="3730921A" w:rsidR="00250C46" w:rsidRDefault="00250C46" w:rsidP="00250C46">
      <w:pPr>
        <w:jc w:val="both"/>
      </w:pPr>
      <w:r>
        <w:t xml:space="preserve">La prima modifica riguarda uno dei commi che ha generato nel corso di questi anni maggior divisione tra gli addetti del settore. Un comma fondamentale nella gestione del passaggio dai vecchi prelievi TOSAP, COSAP, ICP e CIMP alla nuova entrata patrimoniale che doveva necessariamente regolare e condizionare la formazione degli impianti tariffari del nascente canone, seguendo la volontà del Legislatore che </w:t>
      </w:r>
      <w:r w:rsidR="000E5643">
        <w:t xml:space="preserve">chiedeva di </w:t>
      </w:r>
      <w:r>
        <w:t xml:space="preserve"> andare in continuità con il passato, imponendo</w:t>
      </w:r>
      <w:r w:rsidRPr="00250C46">
        <w:t xml:space="preserve"> il vincolo della parità di gettito </w:t>
      </w:r>
      <w:r w:rsidR="000E5643">
        <w:t xml:space="preserve">proprio </w:t>
      </w:r>
      <w:r w:rsidRPr="00250C46">
        <w:t>come strumento necessario in fase di prima applicazione</w:t>
      </w:r>
      <w:r>
        <w:t xml:space="preserve">, sia </w:t>
      </w:r>
      <w:r w:rsidRPr="00250C46">
        <w:t>per non compromettere gli equilibri di bilancio già all’atto di istituzione del canone unico</w:t>
      </w:r>
      <w:r>
        <w:t xml:space="preserve">, sia </w:t>
      </w:r>
      <w:r w:rsidRPr="00250C46">
        <w:t>per mantenere il precedente livello di pressione impositiva derivante dai canoni e dai tributi sostituiti.</w:t>
      </w:r>
    </w:p>
    <w:p w14:paraId="57266408" w14:textId="25B9D259" w:rsidR="00250C46" w:rsidRPr="00250C46" w:rsidRDefault="000E5643" w:rsidP="00250C46">
      <w:pPr>
        <w:jc w:val="both"/>
      </w:pPr>
      <w:r>
        <w:t>Alla luce della modifica apportata dalla lettera A del comma 757, i</w:t>
      </w:r>
      <w:r w:rsidR="00250C46">
        <w:t>l nuovo testo del comma 817</w:t>
      </w:r>
      <w:r>
        <w:t xml:space="preserve"> della L. 160/2019</w:t>
      </w:r>
      <w:r w:rsidR="00250C46">
        <w:t xml:space="preserve"> recita: </w:t>
      </w:r>
    </w:p>
    <w:p w14:paraId="51C1B8EA" w14:textId="0201C208" w:rsidR="009B4984" w:rsidRDefault="009B4984" w:rsidP="009B4984">
      <w:pPr>
        <w:jc w:val="both"/>
        <w:rPr>
          <w:i/>
          <w:iCs/>
        </w:rPr>
      </w:pPr>
      <w:r w:rsidRPr="009B4984">
        <w:rPr>
          <w:i/>
          <w:iCs/>
        </w:rPr>
        <w:t xml:space="preserve">“ Il canone è disciplinato dagli enti in modo da assicurare un gettito pari a quello conseguito dai canoni e dai tributi che sono sostituiti dal canone, fatta salva, in ogni caso, la possibilità di variare il gettito attraverso la modifica delle tariffe </w:t>
      </w:r>
      <w:r w:rsidRPr="00250C46">
        <w:rPr>
          <w:b/>
          <w:bCs/>
          <w:i/>
          <w:iCs/>
        </w:rPr>
        <w:t>attuata secondo criteri di ragionevolezza e di gradualità in ragione dell'impatto ambientale e urbanistico delle occupazioni e delle esposizioni pubblicitarie oggetto del canone e della loro incidenza su elementi di arredo urbano o sui mezzi dei servizi di trasporto pubblico locale o dei servizi di mobilità sostenibile</w:t>
      </w:r>
      <w:r w:rsidRPr="009B4984">
        <w:rPr>
          <w:i/>
          <w:iCs/>
        </w:rPr>
        <w:t>”</w:t>
      </w:r>
    </w:p>
    <w:p w14:paraId="47A6700E" w14:textId="44F915C4" w:rsidR="009B4984" w:rsidRDefault="009B4984" w:rsidP="009B4984">
      <w:pPr>
        <w:jc w:val="both"/>
      </w:pPr>
      <w:r>
        <w:t xml:space="preserve">La modifica </w:t>
      </w:r>
      <w:r w:rsidR="001D4F7C">
        <w:t xml:space="preserve">di legge </w:t>
      </w:r>
      <w:r>
        <w:t xml:space="preserve">si pone in linea con </w:t>
      </w:r>
      <w:r w:rsidR="00B1607E">
        <w:t>l’orientamento</w:t>
      </w:r>
      <w:r>
        <w:t xml:space="preserve"> che </w:t>
      </w:r>
      <w:r w:rsidR="00B1607E">
        <w:t>avevamo</w:t>
      </w:r>
      <w:r>
        <w:t xml:space="preserve"> già assunto nei mesi scorsi, ovvero sulla concreta possibilità per gli Enti locali di modificare il gettito complessivo del CUP andando ad incrementare le tariffe fissate in prima istanza nel 2021</w:t>
      </w:r>
      <w:r w:rsidR="001D4F7C">
        <w:t>,</w:t>
      </w:r>
      <w:r w:rsidR="0008419D">
        <w:t xml:space="preserve"> </w:t>
      </w:r>
      <w:r w:rsidR="000E5643">
        <w:t xml:space="preserve">che come detto, furono </w:t>
      </w:r>
      <w:r w:rsidR="0008419D">
        <w:t xml:space="preserve">calcolate </w:t>
      </w:r>
      <w:r>
        <w:t>sulla base deli precedenti prelievi</w:t>
      </w:r>
      <w:r w:rsidR="000E5643">
        <w:t xml:space="preserve"> per </w:t>
      </w:r>
      <w:r w:rsidR="00B1607E">
        <w:t>garantire quella parità di gettito inizialmente richiesta dal Legislatore.</w:t>
      </w:r>
    </w:p>
    <w:p w14:paraId="713950EB" w14:textId="61928B9B" w:rsidR="00B1607E" w:rsidRDefault="00B1607E" w:rsidP="009B4984">
      <w:pPr>
        <w:jc w:val="both"/>
      </w:pPr>
      <w:r>
        <w:t>Oggi, grazie a questa specifica disposizione</w:t>
      </w:r>
      <w:r w:rsidR="0008419D">
        <w:t xml:space="preserve">, </w:t>
      </w:r>
      <w:r>
        <w:t xml:space="preserve">si conferma, </w:t>
      </w:r>
      <w:r w:rsidR="0008419D">
        <w:t xml:space="preserve">anche se </w:t>
      </w:r>
      <w:r>
        <w:t>con una formulazione non del tutto netta e chiara, la possibilità per gli enti</w:t>
      </w:r>
      <w:r w:rsidR="0008419D" w:rsidRPr="0008419D">
        <w:t xml:space="preserve"> </w:t>
      </w:r>
      <w:r w:rsidR="0008419D">
        <w:t>di variare il gettito dell’entrata</w:t>
      </w:r>
      <w:r>
        <w:t xml:space="preserve">, in ragione di diversi elementi territoriali e </w:t>
      </w:r>
      <w:r w:rsidR="0008419D">
        <w:t>seguendo</w:t>
      </w:r>
      <w:r>
        <w:t xml:space="preserve"> </w:t>
      </w:r>
      <w:r w:rsidR="0008419D">
        <w:t>que</w:t>
      </w:r>
      <w:r>
        <w:t>i principi generali che devono guidare le pubbliche amministrazioni nel disciplinare le proprie entrate</w:t>
      </w:r>
      <w:r w:rsidR="00C16AB6">
        <w:t>.</w:t>
      </w:r>
    </w:p>
    <w:p w14:paraId="4C68D056" w14:textId="6FBB0D67" w:rsidR="00C16AB6" w:rsidRDefault="00C16AB6" w:rsidP="00C16AB6">
      <w:pPr>
        <w:jc w:val="both"/>
      </w:pPr>
      <w:r>
        <w:t xml:space="preserve">In questo senso la norma contenuta </w:t>
      </w:r>
      <w:r w:rsidR="0008419D">
        <w:t xml:space="preserve">alla lettera A </w:t>
      </w:r>
      <w:r>
        <w:t>del comma 757 della Legge Finanziaria 2025</w:t>
      </w:r>
      <w:r w:rsidR="001D4F7C">
        <w:t>,</w:t>
      </w:r>
      <w:r>
        <w:t xml:space="preserve"> accoglie la tesi, da noi sempre sostenuta, che vuole il vincolo della parità di gettito come strumento necessario </w:t>
      </w:r>
      <w:r w:rsidR="008C294C">
        <w:t xml:space="preserve">solo </w:t>
      </w:r>
      <w:r>
        <w:t>in fase di prima applicazione per non compromettere gli equilibri di bilancio già all’atto di istituzione del canone unico e per mantenere il precedente livello di pressione impositiva derivante dai canoni e dai tributi sostituiti.</w:t>
      </w:r>
      <w:r w:rsidR="0008419D">
        <w:t xml:space="preserve"> </w:t>
      </w:r>
      <w:r>
        <w:t xml:space="preserve">Dopodiché </w:t>
      </w:r>
      <w:r w:rsidR="008C294C">
        <w:t xml:space="preserve">è evidente come </w:t>
      </w:r>
      <w:r w:rsidR="001D4F7C">
        <w:t>divent</w:t>
      </w:r>
      <w:r w:rsidR="008C294C">
        <w:t>i</w:t>
      </w:r>
      <w:r>
        <w:t xml:space="preserve"> compito delle singole amministrazioni locali garantire il rispetto dei </w:t>
      </w:r>
      <w:r>
        <w:lastRenderedPageBreak/>
        <w:t>principi generali che devono caratterizzare la gestione della nuova entrata e, conseguentemente, ipotizzare anche degli eventuali aumenti tariffari, purché motivati</w:t>
      </w:r>
      <w:r w:rsidR="0008419D">
        <w:t xml:space="preserve"> </w:t>
      </w:r>
      <w:r w:rsidR="0008419D" w:rsidRPr="0008419D">
        <w:rPr>
          <w:i/>
          <w:iCs/>
        </w:rPr>
        <w:t>in ragione dell'impatto ambientale e urbanistico delle occupazioni e delle esposizioni pubblicitarie oggetto del canone e della loro incidenza su elementi di arredo urbano o sui mezzi dei servizi di trasporto pubblico locale o dei servizi di mobilità sostenibile</w:t>
      </w:r>
      <w:r>
        <w:t xml:space="preserve">.  </w:t>
      </w:r>
    </w:p>
    <w:p w14:paraId="59EC3ADF" w14:textId="43D68D3C" w:rsidR="008C294C" w:rsidRPr="00CD66EA" w:rsidRDefault="008C294C" w:rsidP="008C294C">
      <w:pPr>
        <w:jc w:val="both"/>
        <w:rPr>
          <w:b/>
          <w:bCs/>
        </w:rPr>
      </w:pPr>
      <w:r w:rsidRPr="00CD66EA">
        <w:rPr>
          <w:b/>
          <w:bCs/>
        </w:rPr>
        <w:t xml:space="preserve">La </w:t>
      </w:r>
      <w:r>
        <w:rPr>
          <w:b/>
          <w:bCs/>
        </w:rPr>
        <w:t>seconda</w:t>
      </w:r>
      <w:r w:rsidRPr="00CD66EA">
        <w:rPr>
          <w:b/>
          <w:bCs/>
        </w:rPr>
        <w:t xml:space="preserve"> modifica: </w:t>
      </w:r>
      <w:r>
        <w:rPr>
          <w:b/>
          <w:bCs/>
        </w:rPr>
        <w:t>lettera B punto 1. comma 757 – la superficie degli impianti per le P</w:t>
      </w:r>
      <w:r w:rsidR="00ED210F">
        <w:rPr>
          <w:b/>
          <w:bCs/>
        </w:rPr>
        <w:t xml:space="preserve">ubbliche </w:t>
      </w:r>
      <w:r>
        <w:rPr>
          <w:b/>
          <w:bCs/>
        </w:rPr>
        <w:t>A</w:t>
      </w:r>
      <w:r w:rsidR="00ED210F">
        <w:rPr>
          <w:b/>
          <w:bCs/>
        </w:rPr>
        <w:t>ffissioni</w:t>
      </w:r>
      <w:r>
        <w:rPr>
          <w:b/>
          <w:bCs/>
        </w:rPr>
        <w:t xml:space="preserve"> (lettera D comma 821 L.160/2019)</w:t>
      </w:r>
    </w:p>
    <w:p w14:paraId="0DC042EA" w14:textId="11CE8142" w:rsidR="00C16AB6" w:rsidRDefault="008C294C" w:rsidP="00C16AB6">
      <w:pPr>
        <w:jc w:val="both"/>
      </w:pPr>
      <w:r>
        <w:t xml:space="preserve">La seconda modifica riguarda il comma 821 </w:t>
      </w:r>
      <w:r w:rsidR="0008419D">
        <w:t>della Legge 160/2019</w:t>
      </w:r>
      <w:r w:rsidR="009A64BE">
        <w:t xml:space="preserve"> </w:t>
      </w:r>
      <w:r w:rsidR="0008419D">
        <w:t>dedicato dal Legislatore al contenuto della disciplina regolamentare che deve essere adottata dal Consiglio Comunale o Provinciale</w:t>
      </w:r>
      <w:r w:rsidR="00252006">
        <w:t xml:space="preserve">. </w:t>
      </w:r>
      <w:r>
        <w:t>Con il punto 1 della lettera B del comma 857 viene modificato il testo della lettera D del comma 821 che diventa:</w:t>
      </w:r>
      <w:r w:rsidR="00252006">
        <w:t xml:space="preserve"> </w:t>
      </w:r>
    </w:p>
    <w:p w14:paraId="68307BA8" w14:textId="7D902720" w:rsidR="00252006" w:rsidRPr="00D376F1" w:rsidRDefault="0008419D" w:rsidP="00252006">
      <w:pPr>
        <w:jc w:val="both"/>
        <w:rPr>
          <w:b/>
          <w:bCs/>
          <w:i/>
          <w:iCs/>
        </w:rPr>
      </w:pPr>
      <w:r>
        <w:t>“</w:t>
      </w:r>
      <w:r w:rsidRPr="009B4984">
        <w:rPr>
          <w:i/>
          <w:iCs/>
        </w:rPr>
        <w:t>la</w:t>
      </w:r>
      <w:r w:rsidR="00252006" w:rsidRPr="009B4984">
        <w:rPr>
          <w:i/>
          <w:iCs/>
        </w:rPr>
        <w:t xml:space="preserve"> superficie degli impianti destinati dal comune al servizio delle pubbliche affissioni</w:t>
      </w:r>
      <w:r w:rsidR="00252006" w:rsidRPr="00D376F1">
        <w:rPr>
          <w:b/>
          <w:bCs/>
          <w:i/>
          <w:iCs/>
        </w:rPr>
        <w:t>, ove il comune continui a svolgere tale servizio”</w:t>
      </w:r>
    </w:p>
    <w:p w14:paraId="763184DE" w14:textId="2F4E40E9" w:rsidR="00515EAD" w:rsidRDefault="0008419D" w:rsidP="00252006">
      <w:pPr>
        <w:jc w:val="both"/>
      </w:pPr>
      <w:r>
        <w:t>S</w:t>
      </w:r>
      <w:r w:rsidR="00252006">
        <w:t xml:space="preserve">e per il comma 817 la modifica apportata ha prodotto un significativo risultato, confermando l’orientamento che </w:t>
      </w:r>
      <w:r w:rsidR="001D4F7C">
        <w:t>vede</w:t>
      </w:r>
      <w:r w:rsidR="00252006">
        <w:t xml:space="preserve"> la possibilità di </w:t>
      </w:r>
      <w:r w:rsidR="001D4F7C">
        <w:t>prevedere una</w:t>
      </w:r>
      <w:r w:rsidR="00252006">
        <w:t xml:space="preserve"> modifica del gettito iniziale, per </w:t>
      </w:r>
      <w:r w:rsidR="008C294C">
        <w:t>la seconda modifica apportata dalla nuova Legge Finanziaria</w:t>
      </w:r>
      <w:r w:rsidR="00252006">
        <w:t xml:space="preserve"> diventa impossibile </w:t>
      </w:r>
      <w:r w:rsidR="00083B94">
        <w:t xml:space="preserve">per chi scrive </w:t>
      </w:r>
      <w:r w:rsidR="00252006">
        <w:t>apprezzar</w:t>
      </w:r>
      <w:r>
        <w:t>n</w:t>
      </w:r>
      <w:r w:rsidR="00252006">
        <w:t xml:space="preserve">e </w:t>
      </w:r>
      <w:r>
        <w:t xml:space="preserve">i contenuti. </w:t>
      </w:r>
    </w:p>
    <w:p w14:paraId="60A84464" w14:textId="77777777" w:rsidR="00ED210F" w:rsidRDefault="00083B94" w:rsidP="00252006">
      <w:pPr>
        <w:jc w:val="both"/>
      </w:pPr>
      <w:r>
        <w:t xml:space="preserve">Incomprensibile </w:t>
      </w:r>
      <w:r w:rsidR="00252006">
        <w:t>l</w:t>
      </w:r>
      <w:r w:rsidR="0008419D">
        <w:t>’</w:t>
      </w:r>
      <w:r w:rsidR="00252006">
        <w:t>utilità di quest</w:t>
      </w:r>
      <w:r>
        <w:t>a</w:t>
      </w:r>
      <w:r w:rsidR="00252006">
        <w:t xml:space="preserve"> </w:t>
      </w:r>
      <w:r>
        <w:t xml:space="preserve">modifica che si limita </w:t>
      </w:r>
      <w:r w:rsidR="00252006">
        <w:t>a precisare un</w:t>
      </w:r>
      <w:r w:rsidR="0008419D">
        <w:t>’</w:t>
      </w:r>
      <w:r w:rsidR="00252006">
        <w:t xml:space="preserve">ovvietà. </w:t>
      </w:r>
      <w:r w:rsidR="00861D3E">
        <w:t xml:space="preserve">Difficile immaginare infatti che un Comune, tra quelli che </w:t>
      </w:r>
      <w:r>
        <w:t>in questi anni</w:t>
      </w:r>
      <w:r w:rsidR="00515EAD">
        <w:t xml:space="preserve"> ha </w:t>
      </w:r>
      <w:r>
        <w:t xml:space="preserve">scelto di rinunciare al </w:t>
      </w:r>
      <w:r w:rsidR="00515EAD">
        <w:t>servizio delle pubbliche affissioni</w:t>
      </w:r>
      <w:r>
        <w:t xml:space="preserve"> seguendo le indicazioni contenute </w:t>
      </w:r>
      <w:r w:rsidR="00861D3E">
        <w:t>nel comma</w:t>
      </w:r>
      <w:r w:rsidR="00515EAD">
        <w:t xml:space="preserve"> 836,</w:t>
      </w:r>
      <w:r w:rsidR="00252006">
        <w:t xml:space="preserve"> </w:t>
      </w:r>
      <w:r w:rsidR="00515EAD">
        <w:t>s</w:t>
      </w:r>
      <w:r w:rsidR="00252006">
        <w:t xml:space="preserve">i </w:t>
      </w:r>
      <w:r w:rsidR="00861D3E">
        <w:t>sia</w:t>
      </w:r>
      <w:r w:rsidR="00515EAD">
        <w:t xml:space="preserve"> </w:t>
      </w:r>
      <w:r w:rsidR="00252006">
        <w:t xml:space="preserve">posto il problema </w:t>
      </w:r>
      <w:r w:rsidR="00ED210F">
        <w:t>se</w:t>
      </w:r>
      <w:r w:rsidR="00252006">
        <w:t xml:space="preserve"> fissare nel </w:t>
      </w:r>
      <w:r w:rsidR="00187421">
        <w:t>proprio</w:t>
      </w:r>
      <w:r w:rsidR="00252006">
        <w:t xml:space="preserve"> regolamento </w:t>
      </w:r>
      <w:r w:rsidR="00187421" w:rsidRPr="00187421">
        <w:t xml:space="preserve">la superficie </w:t>
      </w:r>
      <w:r w:rsidR="00861D3E">
        <w:t xml:space="preserve">complessiva </w:t>
      </w:r>
      <w:r w:rsidR="00187421" w:rsidRPr="00187421">
        <w:t>degli impianti destinati a</w:t>
      </w:r>
      <w:r w:rsidR="00ED210F">
        <w:t xml:space="preserve">l </w:t>
      </w:r>
      <w:r w:rsidR="00187421" w:rsidRPr="00187421">
        <w:t>servizi</w:t>
      </w:r>
      <w:r w:rsidR="00515EAD">
        <w:t>o dismesso</w:t>
      </w:r>
      <w:r w:rsidR="00187421">
        <w:t>. Per questo la precisazione appare assolutamente inutile</w:t>
      </w:r>
      <w:r w:rsidR="00861D3E">
        <w:t xml:space="preserve">, tanto da non </w:t>
      </w:r>
      <w:r w:rsidR="00ED210F">
        <w:t>comprenderne</w:t>
      </w:r>
      <w:r w:rsidR="00861D3E">
        <w:t xml:space="preserve"> il senso della sua introduzione. </w:t>
      </w:r>
    </w:p>
    <w:p w14:paraId="737000D2" w14:textId="364C643F" w:rsidR="00ED210F" w:rsidRDefault="00ED210F" w:rsidP="00252006">
      <w:pPr>
        <w:jc w:val="both"/>
        <w:rPr>
          <w:b/>
          <w:bCs/>
        </w:rPr>
      </w:pPr>
      <w:r w:rsidRPr="00CD66EA">
        <w:rPr>
          <w:b/>
          <w:bCs/>
        </w:rPr>
        <w:t xml:space="preserve">La </w:t>
      </w:r>
      <w:r>
        <w:rPr>
          <w:b/>
          <w:bCs/>
        </w:rPr>
        <w:t>terza</w:t>
      </w:r>
      <w:r w:rsidRPr="00CD66EA">
        <w:rPr>
          <w:b/>
          <w:bCs/>
        </w:rPr>
        <w:t xml:space="preserve"> modifica: </w:t>
      </w:r>
      <w:r>
        <w:rPr>
          <w:b/>
          <w:bCs/>
        </w:rPr>
        <w:t>lettera B punto 2. comma 757 –</w:t>
      </w:r>
      <w:r w:rsidR="008758CD">
        <w:rPr>
          <w:b/>
          <w:bCs/>
        </w:rPr>
        <w:t xml:space="preserve"> riduzione</w:t>
      </w:r>
      <w:r w:rsidR="001F7741">
        <w:rPr>
          <w:b/>
          <w:bCs/>
        </w:rPr>
        <w:t xml:space="preserve"> per impianti su area privata</w:t>
      </w:r>
      <w:r w:rsidR="008758CD">
        <w:rPr>
          <w:b/>
          <w:bCs/>
        </w:rPr>
        <w:t xml:space="preserve"> </w:t>
      </w:r>
      <w:r w:rsidR="00D376F1">
        <w:rPr>
          <w:b/>
          <w:bCs/>
        </w:rPr>
        <w:t xml:space="preserve"> (lettera F comma 821 L.160/2019)</w:t>
      </w:r>
    </w:p>
    <w:p w14:paraId="3B5648C3" w14:textId="5BBE4364" w:rsidR="00ED210F" w:rsidRDefault="00ED210F" w:rsidP="00ED210F">
      <w:pPr>
        <w:jc w:val="both"/>
      </w:pPr>
      <w:r>
        <w:t xml:space="preserve">La terza modifica riguarda sempre il comma 821 della Legge 160/2019, con il punto 2 della lettera B del comma 857 viene modificato il testo della lettera F del comma 821 che diventa: </w:t>
      </w:r>
    </w:p>
    <w:p w14:paraId="1687F15C" w14:textId="40BCB8C2" w:rsidR="00ED210F" w:rsidRDefault="00ED210F" w:rsidP="00ED210F">
      <w:pPr>
        <w:jc w:val="both"/>
        <w:rPr>
          <w:i/>
          <w:iCs/>
        </w:rPr>
      </w:pPr>
      <w:r w:rsidRPr="00252006">
        <w:rPr>
          <w:i/>
          <w:iCs/>
        </w:rPr>
        <w:t>“le ulteriori esenzioni o riduzioni rispetto a quelle disciplinate dai commi da 816 a 847.</w:t>
      </w:r>
      <w:r>
        <w:t xml:space="preserve"> </w:t>
      </w:r>
      <w:r w:rsidRPr="00D376F1">
        <w:rPr>
          <w:b/>
          <w:bCs/>
          <w:i/>
          <w:iCs/>
        </w:rPr>
        <w:t>Per gli impianti ubicati su suolo privato o comunque in aree private, il canone può essere ridotto fino alla metà”.</w:t>
      </w:r>
    </w:p>
    <w:p w14:paraId="1CD0BA5D" w14:textId="26222586" w:rsidR="00ED210F" w:rsidRDefault="00ED210F" w:rsidP="00252006">
      <w:pPr>
        <w:jc w:val="both"/>
      </w:pPr>
      <w:r>
        <w:t>Questa modifica</w:t>
      </w:r>
      <w:r w:rsidR="00187421">
        <w:t xml:space="preserve"> può </w:t>
      </w:r>
      <w:r>
        <w:t xml:space="preserve">tranquillamente </w:t>
      </w:r>
      <w:r w:rsidR="00187421">
        <w:t xml:space="preserve">essere valutata come </w:t>
      </w:r>
      <w:r w:rsidR="00515EAD">
        <w:t xml:space="preserve">un </w:t>
      </w:r>
      <w:r w:rsidR="00187421">
        <w:t>invito, un</w:t>
      </w:r>
      <w:r w:rsidR="00515EAD">
        <w:t>a sorta di</w:t>
      </w:r>
      <w:r w:rsidR="00187421">
        <w:t xml:space="preserve"> suggerimento</w:t>
      </w:r>
      <w:r w:rsidR="00515EAD">
        <w:t xml:space="preserve"> agli enti locali</w:t>
      </w:r>
      <w:r>
        <w:t xml:space="preserve"> a cui viene conferita la possibilità di ridurre il canone fino al 50% per le esposizioni effettuate su suolo privato</w:t>
      </w:r>
      <w:r w:rsidR="00515EAD">
        <w:t xml:space="preserve">. </w:t>
      </w:r>
      <w:r>
        <w:t>Tuttavia l</w:t>
      </w:r>
      <w:r w:rsidR="00515EAD">
        <w:t>a</w:t>
      </w:r>
      <w:r w:rsidR="00187421">
        <w:t xml:space="preserve"> portata </w:t>
      </w:r>
      <w:r w:rsidR="008758CD">
        <w:t>di questa</w:t>
      </w:r>
      <w:r w:rsidR="00187421">
        <w:t xml:space="preserve"> modifica normativa è </w:t>
      </w:r>
      <w:r w:rsidR="00515EAD">
        <w:t xml:space="preserve">di fatto </w:t>
      </w:r>
      <w:r w:rsidR="00187421">
        <w:t xml:space="preserve">nulla. </w:t>
      </w:r>
      <w:r w:rsidR="008758CD">
        <w:t>Infatti, l</w:t>
      </w:r>
      <w:r w:rsidR="00187421">
        <w:t>a possibilità di ridurre il canone per i casi di impianti (</w:t>
      </w:r>
      <w:r>
        <w:t xml:space="preserve">immaginiamo </w:t>
      </w:r>
      <w:r w:rsidR="00187421">
        <w:t xml:space="preserve">intesi come impianti </w:t>
      </w:r>
      <w:r>
        <w:t>pubblicitari) realizzati</w:t>
      </w:r>
      <w:r w:rsidR="00187421">
        <w:t xml:space="preserve"> su aree private</w:t>
      </w:r>
      <w:r w:rsidR="008758CD">
        <w:t>,</w:t>
      </w:r>
      <w:r w:rsidR="00187421">
        <w:t xml:space="preserve"> era già insita nella disciplina e </w:t>
      </w:r>
      <w:r w:rsidR="00515EAD">
        <w:t>nella stessa</w:t>
      </w:r>
      <w:r w:rsidR="00187421">
        <w:t xml:space="preserve"> lettera F del comma 821, quando il Legislatore specificava</w:t>
      </w:r>
      <w:r w:rsidR="00515EAD">
        <w:t xml:space="preserve"> fin dalla prima stesura</w:t>
      </w:r>
      <w:r w:rsidR="00187421">
        <w:t xml:space="preserve"> la possibilità per i soggetti attivi di stabilire </w:t>
      </w:r>
      <w:r w:rsidR="00515EAD">
        <w:t xml:space="preserve">esenzioni e </w:t>
      </w:r>
      <w:r w:rsidR="00187421">
        <w:t>riduzioni per specifiche fattispecie</w:t>
      </w:r>
      <w:r w:rsidR="00515EAD">
        <w:t xml:space="preserve"> oltre quelle fissate per legge</w:t>
      </w:r>
      <w:r w:rsidR="00187421">
        <w:t xml:space="preserve">. </w:t>
      </w:r>
    </w:p>
    <w:p w14:paraId="0432DFE2" w14:textId="6C40A308" w:rsidR="00252006" w:rsidRDefault="00515EAD" w:rsidP="00252006">
      <w:pPr>
        <w:jc w:val="both"/>
      </w:pPr>
      <w:r>
        <w:t>M</w:t>
      </w:r>
      <w:r w:rsidR="00187421">
        <w:t>olte amministrazioni</w:t>
      </w:r>
      <w:r w:rsidR="008758CD" w:rsidRPr="008758CD">
        <w:t xml:space="preserve"> </w:t>
      </w:r>
      <w:r w:rsidR="008758CD">
        <w:t xml:space="preserve">infatti, forti dell’autonomia in materia di proprie entrate riconosciuta dall’articolo 52 del D.Lgs 446/97, forti della potestà regolamentare e di quanto indicato alla lettera F del comma 821 della L. 160/2019, </w:t>
      </w:r>
      <w:r w:rsidR="00187421">
        <w:t xml:space="preserve">avevano già previsto </w:t>
      </w:r>
      <w:r w:rsidR="00ED210F">
        <w:t xml:space="preserve">nei propri regolamenti </w:t>
      </w:r>
      <w:r w:rsidR="00187421">
        <w:t>questa misura di riduzione</w:t>
      </w:r>
      <w:r>
        <w:t xml:space="preserve"> che </w:t>
      </w:r>
      <w:r w:rsidR="008758CD">
        <w:t>andava</w:t>
      </w:r>
      <w:r>
        <w:t xml:space="preserve"> a </w:t>
      </w:r>
      <w:r w:rsidR="00ED210F">
        <w:t>differenziare</w:t>
      </w:r>
      <w:r>
        <w:t xml:space="preserve"> l’impatto e il sacrificio imposto alla collettività realizzat</w:t>
      </w:r>
      <w:r w:rsidR="008758CD">
        <w:t>i rispettivamente</w:t>
      </w:r>
      <w:r>
        <w:t xml:space="preserve"> da un impianto pubblicitario collocato su area </w:t>
      </w:r>
      <w:r w:rsidR="00ED210F">
        <w:t>privata</w:t>
      </w:r>
      <w:r>
        <w:t xml:space="preserve"> rispetto a</w:t>
      </w:r>
      <w:r w:rsidR="008758CD">
        <w:t>d uno installato</w:t>
      </w:r>
      <w:r w:rsidR="00ED210F">
        <w:t xml:space="preserve"> direttamente</w:t>
      </w:r>
      <w:r w:rsidR="008758CD">
        <w:t xml:space="preserve"> su suolo pubblico </w:t>
      </w:r>
      <w:r w:rsidR="00ED210F">
        <w:t>lungo le stra</w:t>
      </w:r>
      <w:r w:rsidR="001D4F7C">
        <w:t xml:space="preserve">de e </w:t>
      </w:r>
      <w:r w:rsidR="00ED210F">
        <w:t xml:space="preserve">le </w:t>
      </w:r>
      <w:r w:rsidR="001D4F7C">
        <w:t>piazze</w:t>
      </w:r>
      <w:r>
        <w:t xml:space="preserve"> </w:t>
      </w:r>
      <w:r w:rsidR="008758CD">
        <w:t>del territorio comunale</w:t>
      </w:r>
      <w:r>
        <w:t>.</w:t>
      </w:r>
    </w:p>
    <w:p w14:paraId="53468C5D" w14:textId="563F090E" w:rsidR="001F7741" w:rsidRDefault="001F7741" w:rsidP="001F7741">
      <w:pPr>
        <w:jc w:val="both"/>
        <w:rPr>
          <w:b/>
          <w:bCs/>
        </w:rPr>
      </w:pPr>
      <w:r w:rsidRPr="00CD66EA">
        <w:rPr>
          <w:b/>
          <w:bCs/>
        </w:rPr>
        <w:t xml:space="preserve">La </w:t>
      </w:r>
      <w:r>
        <w:rPr>
          <w:b/>
          <w:bCs/>
        </w:rPr>
        <w:t>quarta</w:t>
      </w:r>
      <w:r w:rsidRPr="00CD66EA">
        <w:rPr>
          <w:b/>
          <w:bCs/>
        </w:rPr>
        <w:t xml:space="preserve"> modifica: </w:t>
      </w:r>
      <w:r>
        <w:rPr>
          <w:b/>
          <w:bCs/>
        </w:rPr>
        <w:t>lettera C punto 1. comma 757 – esclusione cornici e</w:t>
      </w:r>
      <w:r w:rsidR="00D376F1">
        <w:rPr>
          <w:b/>
          <w:bCs/>
        </w:rPr>
        <w:t>d elementi strutturali</w:t>
      </w:r>
      <w:r>
        <w:rPr>
          <w:b/>
          <w:bCs/>
        </w:rPr>
        <w:t xml:space="preserve"> </w:t>
      </w:r>
      <w:r w:rsidR="00D376F1">
        <w:rPr>
          <w:b/>
          <w:bCs/>
        </w:rPr>
        <w:t>(comma 825 L.160/2019)</w:t>
      </w:r>
    </w:p>
    <w:p w14:paraId="666672CD" w14:textId="625A8231" w:rsidR="001F7741" w:rsidRDefault="001F7741" w:rsidP="004445C8">
      <w:pPr>
        <w:jc w:val="both"/>
      </w:pPr>
      <w:r>
        <w:lastRenderedPageBreak/>
        <w:t>La quarta modifica riguarda il comma 825, ov</w:t>
      </w:r>
      <w:r w:rsidR="00515EAD">
        <w:t>vero il comma dedicato al criterio di calcolo del Canone per le iniziative pubblicitarie.</w:t>
      </w:r>
      <w:r w:rsidR="004445C8">
        <w:t xml:space="preserve"> </w:t>
      </w:r>
      <w:r>
        <w:t>Con il punto 1 della lettera C del comma 757 viene modificata la prima parte del comma 825 della Legge 160/2019</w:t>
      </w:r>
      <w:r w:rsidR="00D376F1">
        <w:t xml:space="preserve"> che assume il seguente testo:</w:t>
      </w:r>
    </w:p>
    <w:p w14:paraId="005E5970" w14:textId="14BB0D7A" w:rsidR="00515EAD" w:rsidRDefault="004445C8" w:rsidP="004445C8">
      <w:pPr>
        <w:jc w:val="both"/>
      </w:pPr>
      <w:r w:rsidRPr="004445C8">
        <w:rPr>
          <w:i/>
          <w:iCs/>
        </w:rPr>
        <w:t>“Per la diffusione di messaggi pubblicitari di cui al comma 819, lettera b), il canone è determinato in base alla superficie complessiva del mezzo pubblicitario</w:t>
      </w:r>
      <w:r>
        <w:rPr>
          <w:i/>
          <w:iCs/>
        </w:rPr>
        <w:t xml:space="preserve"> </w:t>
      </w:r>
      <w:r w:rsidRPr="00D376F1">
        <w:rPr>
          <w:b/>
          <w:bCs/>
          <w:i/>
          <w:iCs/>
        </w:rPr>
        <w:t>esclusa quella relativa agli elementi privi di carattere pubblicitario</w:t>
      </w:r>
      <w:r w:rsidRPr="004445C8">
        <w:rPr>
          <w:i/>
          <w:iCs/>
        </w:rPr>
        <w:t>, calcolata in metri quadrati, indipendentemente dal tipo e dal numero dei messaggi</w:t>
      </w:r>
      <w:r w:rsidR="00D376F1">
        <w:rPr>
          <w:i/>
          <w:iCs/>
        </w:rPr>
        <w:t>…”</w:t>
      </w:r>
    </w:p>
    <w:p w14:paraId="7F9A1DAE" w14:textId="77777777" w:rsidR="00D376F1" w:rsidRDefault="00D376F1" w:rsidP="000A3FFD">
      <w:pPr>
        <w:jc w:val="both"/>
      </w:pPr>
      <w:r>
        <w:t>Anche questa quarta modifica</w:t>
      </w:r>
      <w:r w:rsidR="00791FEE">
        <w:t xml:space="preserve"> si dimostra poco utile</w:t>
      </w:r>
      <w:r w:rsidR="00A74A93">
        <w:t xml:space="preserve">. Viene precisato che non fanno parte della superficie impositiva quegli elementi del mezzo pubblicitario che non costituiscono superficie utile alla diffusione pubblicitaria. Tipicamente parliamo delle cornici, ovvero elementi strutturali di supporto del mezzo che hanno una finalità diversa </w:t>
      </w:r>
      <w:r w:rsidR="00B22C6C">
        <w:t>rispetto al</w:t>
      </w:r>
      <w:r w:rsidR="002773B0">
        <w:t xml:space="preserve"> diffondere messaggi pubblicitari. </w:t>
      </w:r>
    </w:p>
    <w:p w14:paraId="7931ECA8" w14:textId="6BA6A9B2" w:rsidR="000A3FFD" w:rsidRDefault="00D376F1" w:rsidP="000A3FFD">
      <w:pPr>
        <w:jc w:val="both"/>
      </w:pPr>
      <w:r>
        <w:t>Nell’analizzare questa modifica legislativa occorre prestare a</w:t>
      </w:r>
      <w:r w:rsidR="002773B0">
        <w:t xml:space="preserve">ttenzione a non </w:t>
      </w:r>
      <w:r>
        <w:t>interpretarla</w:t>
      </w:r>
      <w:r w:rsidR="002773B0">
        <w:t xml:space="preserve"> come una volontà di limitare la superficie imponibile a quella effettivamente</w:t>
      </w:r>
      <w:r w:rsidR="00B32E41">
        <w:t xml:space="preserve"> e materialmente</w:t>
      </w:r>
      <w:r w:rsidR="002773B0">
        <w:t xml:space="preserve"> sfruttata dell’impianto. Il </w:t>
      </w:r>
      <w:r w:rsidR="000A3FFD">
        <w:t xml:space="preserve">corretto </w:t>
      </w:r>
      <w:r w:rsidR="002773B0">
        <w:t>concetto</w:t>
      </w:r>
      <w:r w:rsidR="000A3FFD">
        <w:t xml:space="preserve"> da </w:t>
      </w:r>
      <w:r w:rsidR="00B22C6C">
        <w:t>applicare</w:t>
      </w:r>
      <w:r w:rsidR="00B32E41">
        <w:t xml:space="preserve"> ad interpretazione della norma</w:t>
      </w:r>
      <w:r w:rsidR="00B22C6C">
        <w:t xml:space="preserve"> è</w:t>
      </w:r>
      <w:r w:rsidR="002773B0">
        <w:t xml:space="preserve"> </w:t>
      </w:r>
      <w:r w:rsidR="00B22C6C">
        <w:t xml:space="preserve">semplicemente </w:t>
      </w:r>
      <w:r w:rsidR="002773B0">
        <w:t xml:space="preserve">quello della potenziale sfruttabilità dell’intera superficie espositiva </w:t>
      </w:r>
      <w:r w:rsidR="002773B0" w:rsidRPr="004445C8">
        <w:rPr>
          <w:i/>
          <w:iCs/>
        </w:rPr>
        <w:t>indipendentemente dal tipo e dal numero dei messaggi</w:t>
      </w:r>
      <w:r w:rsidR="00B32E41">
        <w:rPr>
          <w:i/>
          <w:iCs/>
        </w:rPr>
        <w:t xml:space="preserve">. </w:t>
      </w:r>
      <w:r w:rsidR="00B32E41" w:rsidRPr="00B32E41">
        <w:t>Superficie</w:t>
      </w:r>
      <w:r w:rsidR="00B32E41">
        <w:rPr>
          <w:i/>
          <w:iCs/>
        </w:rPr>
        <w:t xml:space="preserve"> </w:t>
      </w:r>
      <w:r w:rsidR="002773B0">
        <w:rPr>
          <w:i/>
          <w:iCs/>
        </w:rPr>
        <w:t xml:space="preserve"> </w:t>
      </w:r>
      <w:r w:rsidR="002773B0">
        <w:t>dalla quale</w:t>
      </w:r>
      <w:r w:rsidR="000A3FFD">
        <w:t xml:space="preserve"> oggi </w:t>
      </w:r>
      <w:r w:rsidR="002773B0">
        <w:t xml:space="preserve">il Legislatore </w:t>
      </w:r>
      <w:r w:rsidR="00B22C6C">
        <w:t xml:space="preserve">si limita ad </w:t>
      </w:r>
      <w:r w:rsidR="002773B0">
        <w:t>esclude</w:t>
      </w:r>
      <w:r w:rsidR="00B22C6C">
        <w:t>re</w:t>
      </w:r>
      <w:r w:rsidR="002773B0">
        <w:t xml:space="preserve"> </w:t>
      </w:r>
      <w:r w:rsidR="00B32E41">
        <w:t xml:space="preserve">solo </w:t>
      </w:r>
      <w:r w:rsidR="002773B0">
        <w:t xml:space="preserve">le parti non destinate a </w:t>
      </w:r>
      <w:r w:rsidR="000A3FFD">
        <w:t>diffondere</w:t>
      </w:r>
      <w:r w:rsidR="002773B0">
        <w:t xml:space="preserve"> un messaggio pubblicitario. </w:t>
      </w:r>
      <w:r w:rsidR="00B32E41">
        <w:t>Con questa lettura, l</w:t>
      </w:r>
      <w:r w:rsidR="002773B0">
        <w:t xml:space="preserve">a modifica si rivela davvero </w:t>
      </w:r>
      <w:r w:rsidR="000A3FFD">
        <w:t>modesta</w:t>
      </w:r>
      <w:r w:rsidR="00B32E41">
        <w:t>.</w:t>
      </w:r>
      <w:r w:rsidR="002773B0">
        <w:t xml:space="preserve"> </w:t>
      </w:r>
      <w:r w:rsidR="00B32E41">
        <w:t>L</w:t>
      </w:r>
      <w:r w:rsidR="002773B0">
        <w:t xml:space="preserve">a giurisprudenza a più riprese si era già pronunciata in tal senso </w:t>
      </w:r>
      <w:r w:rsidR="00FE72DF">
        <w:t xml:space="preserve">e nessun </w:t>
      </w:r>
      <w:r w:rsidR="000A3FFD">
        <w:t>ufficio oggi applica il canone su cornici o elementi strutturali non destinati a diffondere un messaggio pubblicitario.</w:t>
      </w:r>
    </w:p>
    <w:p w14:paraId="36A8C9BD" w14:textId="791C2CCD" w:rsidR="004445C8" w:rsidRDefault="000A3FFD" w:rsidP="000A3FFD">
      <w:pPr>
        <w:jc w:val="both"/>
      </w:pPr>
      <w:r>
        <w:t xml:space="preserve">Tra le tante sentenze </w:t>
      </w:r>
      <w:r w:rsidR="00B32E41">
        <w:t xml:space="preserve">presenti </w:t>
      </w:r>
      <w:r>
        <w:t xml:space="preserve">sull’argomento si richiama la Cassazione del </w:t>
      </w:r>
      <w:r w:rsidR="00B22C6C">
        <w:t>30.10.2009 n.</w:t>
      </w:r>
      <w:r>
        <w:t xml:space="preserve"> 23023, con la </w:t>
      </w:r>
      <w:r w:rsidR="00B22C6C">
        <w:t xml:space="preserve">quale </w:t>
      </w:r>
      <w:r>
        <w:t>era</w:t>
      </w:r>
      <w:r w:rsidR="00B22C6C">
        <w:t xml:space="preserve"> stato </w:t>
      </w:r>
      <w:r w:rsidR="00B32E41">
        <w:t>già acclarato, senza dubbio interpretativo,</w:t>
      </w:r>
      <w:r>
        <w:t xml:space="preserve"> che la superficie del mezzo circostante il messaggio pubblicitario resta esente dall'imposizione in quanto è costituita da una cornice oggettivamente distinta dallo spazio destinato alla pubblicità, </w:t>
      </w:r>
      <w:r w:rsidR="00B32E41">
        <w:t>purché</w:t>
      </w:r>
      <w:r>
        <w:t xml:space="preserve"> sia strutturalmente inidonea ad essere utilizzata per la diffusione del messaggio.</w:t>
      </w:r>
    </w:p>
    <w:p w14:paraId="1A7BF32A" w14:textId="499EC97C" w:rsidR="00B32E41" w:rsidRDefault="00B32E41" w:rsidP="00B32E41">
      <w:pPr>
        <w:jc w:val="both"/>
        <w:rPr>
          <w:b/>
          <w:bCs/>
        </w:rPr>
      </w:pPr>
      <w:r w:rsidRPr="00CD66EA">
        <w:rPr>
          <w:b/>
          <w:bCs/>
        </w:rPr>
        <w:t xml:space="preserve">La </w:t>
      </w:r>
      <w:r>
        <w:rPr>
          <w:b/>
          <w:bCs/>
        </w:rPr>
        <w:t>quinta</w:t>
      </w:r>
      <w:r w:rsidRPr="00CD66EA">
        <w:rPr>
          <w:b/>
          <w:bCs/>
        </w:rPr>
        <w:t xml:space="preserve"> modifica: </w:t>
      </w:r>
      <w:r>
        <w:rPr>
          <w:b/>
          <w:bCs/>
        </w:rPr>
        <w:t>lettera C punto 2. comma 757 - criterio di calcolo impianti con pluralità segnali (comma 825 L.160/2019)</w:t>
      </w:r>
    </w:p>
    <w:p w14:paraId="5CFD0911" w14:textId="699B7C68" w:rsidR="00507C87" w:rsidRDefault="00B32E41" w:rsidP="00252006">
      <w:pPr>
        <w:jc w:val="both"/>
      </w:pPr>
      <w:r>
        <w:t xml:space="preserve">La quinta e ultima modifica viene prodotta con il punto 2 </w:t>
      </w:r>
      <w:r w:rsidR="00507C87">
        <w:t>del</w:t>
      </w:r>
      <w:r>
        <w:t>la lettera C</w:t>
      </w:r>
      <w:r w:rsidR="00507C87">
        <w:t xml:space="preserve"> del comma 757, andando ad aggiungere al comma 825 della Legge 160/2019 il criterio di calcolo della superficie imponibile per i messaggi plurimi di segnali turistici e preinsegne o frecce direzionali.</w:t>
      </w:r>
    </w:p>
    <w:p w14:paraId="6A33CAA9" w14:textId="5955070E" w:rsidR="00507C87" w:rsidRDefault="00507C87" w:rsidP="00252006">
      <w:pPr>
        <w:jc w:val="both"/>
      </w:pPr>
      <w:r>
        <w:t>Al comma 825 vengono aggiunte i seguenti periodi:</w:t>
      </w:r>
    </w:p>
    <w:p w14:paraId="13753B51" w14:textId="5A13D87C" w:rsidR="00507C87" w:rsidRPr="009B4984" w:rsidRDefault="00507C87" w:rsidP="00507C87">
      <w:pPr>
        <w:jc w:val="both"/>
        <w:rPr>
          <w:i/>
          <w:iCs/>
        </w:rPr>
      </w:pPr>
      <w:r>
        <w:rPr>
          <w:i/>
          <w:iCs/>
        </w:rPr>
        <w:t>“</w:t>
      </w:r>
      <w:r w:rsidRPr="009B4984">
        <w:rPr>
          <w:i/>
          <w:iCs/>
        </w:rPr>
        <w:t>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w:t>
      </w:r>
      <w:r>
        <w:rPr>
          <w:i/>
          <w:iCs/>
        </w:rPr>
        <w:t>”</w:t>
      </w:r>
    </w:p>
    <w:p w14:paraId="315914F9" w14:textId="77777777" w:rsidR="00507C87" w:rsidRDefault="00507C87" w:rsidP="00252006">
      <w:pPr>
        <w:jc w:val="both"/>
      </w:pPr>
      <w:r>
        <w:t xml:space="preserve">Questa tra tutte rappresenta la modifica più rilevante, quella che </w:t>
      </w:r>
      <w:r w:rsidR="00FE72DF">
        <w:t xml:space="preserve">va ad alterare un orientamento </w:t>
      </w:r>
      <w:r w:rsidR="00CA03D3">
        <w:t xml:space="preserve">ormai </w:t>
      </w:r>
      <w:r w:rsidR="00FE72DF">
        <w:t xml:space="preserve">diffuso sul criterio di tassazione delle pre-insegne. </w:t>
      </w:r>
    </w:p>
    <w:p w14:paraId="64B8FD1C" w14:textId="7E18CD25" w:rsidR="00FE72DF" w:rsidRDefault="00507C87" w:rsidP="00252006">
      <w:pPr>
        <w:jc w:val="both"/>
      </w:pPr>
      <w:r>
        <w:t xml:space="preserve">L’introduzione dei periodi sopra richiamati nel comma dedicato alla definizione del calcolo per la componente pubblicitaria, </w:t>
      </w:r>
      <w:r w:rsidR="00CA03D3">
        <w:t>rappresenta</w:t>
      </w:r>
      <w:r w:rsidR="00FE72DF">
        <w:t xml:space="preserve"> </w:t>
      </w:r>
      <w:r w:rsidR="00B22C6C">
        <w:t>effettivamente</w:t>
      </w:r>
      <w:r w:rsidR="007C6C75">
        <w:t>, con effetto dal 1 gennaio 2025,</w:t>
      </w:r>
      <w:r w:rsidR="00B22C6C">
        <w:t xml:space="preserve"> </w:t>
      </w:r>
      <w:r w:rsidR="00FE72DF">
        <w:t xml:space="preserve">l’unica modifica che avrà un impatto reale nella gestione del Canone e andrà ad incidere </w:t>
      </w:r>
      <w:r w:rsidR="00CA03D3">
        <w:t xml:space="preserve">concretamente </w:t>
      </w:r>
      <w:r w:rsidR="00FE72DF">
        <w:t xml:space="preserve">sul gettito atteso derivante dalle iniziative pubblicitarie. </w:t>
      </w:r>
      <w:r w:rsidR="00B22C6C">
        <w:t>Mentre</w:t>
      </w:r>
      <w:r>
        <w:t>, come abbiamo visto,</w:t>
      </w:r>
      <w:r w:rsidR="00B22C6C">
        <w:t xml:space="preserve"> t</w:t>
      </w:r>
      <w:r w:rsidR="00FE72DF">
        <w:t>utte le altre modifiche possiamo definirle di stile e comunque confermative di orientament</w:t>
      </w:r>
      <w:r>
        <w:t>i</w:t>
      </w:r>
      <w:r w:rsidR="00FE72DF">
        <w:t xml:space="preserve"> già consolidat</w:t>
      </w:r>
      <w:r>
        <w:t>i</w:t>
      </w:r>
      <w:r w:rsidR="00FE72DF">
        <w:t xml:space="preserve">, questa, come detto, costituisce </w:t>
      </w:r>
      <w:r w:rsidR="00CA03D3">
        <w:t>per la maggior parte delle realtà locali,</w:t>
      </w:r>
      <w:r w:rsidR="00FE72DF">
        <w:t xml:space="preserve"> una novità che si pone </w:t>
      </w:r>
      <w:r>
        <w:t xml:space="preserve">peraltro </w:t>
      </w:r>
      <w:r w:rsidR="00FE72DF">
        <w:t xml:space="preserve">in contrasto con </w:t>
      </w:r>
      <w:r w:rsidR="00CA03D3">
        <w:t>i</w:t>
      </w:r>
      <w:r w:rsidR="00FE72DF">
        <w:t xml:space="preserve"> regolamenti adottati </w:t>
      </w:r>
      <w:r w:rsidR="00B22C6C">
        <w:t xml:space="preserve">nel 2021 </w:t>
      </w:r>
      <w:r w:rsidR="00FE72DF">
        <w:t xml:space="preserve">da Comuni, Province e </w:t>
      </w:r>
      <w:r w:rsidR="00FE72DF">
        <w:lastRenderedPageBreak/>
        <w:t>Città Metropolitane</w:t>
      </w:r>
      <w:r w:rsidR="007C6C75">
        <w:t>, che dovranno evidentemente essere aggiornati a partire dal 2025, valutando chiaramente la norma come efficace pro futuro e non come norma di interpretazione della disciplina in vigore dal 2021</w:t>
      </w:r>
      <w:r w:rsidR="00FE72DF">
        <w:t>.</w:t>
      </w:r>
    </w:p>
    <w:p w14:paraId="1E39F9E6" w14:textId="2644677E" w:rsidR="00CA03D3" w:rsidRDefault="00991FB0" w:rsidP="00CA03D3">
      <w:pPr>
        <w:jc w:val="both"/>
      </w:pPr>
      <w:r>
        <w:t>Si deve</w:t>
      </w:r>
      <w:r w:rsidR="00507C87">
        <w:t xml:space="preserve"> infatti </w:t>
      </w:r>
      <w:r>
        <w:t>registrare come s</w:t>
      </w:r>
      <w:r w:rsidR="00CA03D3">
        <w:t>u</w:t>
      </w:r>
      <w:r w:rsidR="00B22C6C">
        <w:t>l</w:t>
      </w:r>
      <w:r w:rsidR="00CA03D3">
        <w:t xml:space="preserve"> criterio di “tassazione” delle </w:t>
      </w:r>
      <w:r w:rsidR="00CA03D3" w:rsidRPr="009B4984">
        <w:rPr>
          <w:i/>
          <w:iCs/>
        </w:rPr>
        <w:t>pluralità di segnali turistici o di territorio o di frecce direzionali</w:t>
      </w:r>
      <w:r w:rsidR="00CA03D3">
        <w:rPr>
          <w:i/>
          <w:iCs/>
        </w:rPr>
        <w:t xml:space="preserve">, </w:t>
      </w:r>
      <w:r w:rsidR="00CA03D3" w:rsidRPr="00CA03D3">
        <w:t xml:space="preserve">si era </w:t>
      </w:r>
      <w:r w:rsidR="00507C87">
        <w:t>più volte</w:t>
      </w:r>
      <w:r>
        <w:t xml:space="preserve"> </w:t>
      </w:r>
      <w:r w:rsidR="00CA03D3" w:rsidRPr="00CA03D3">
        <w:t>espressa</w:t>
      </w:r>
      <w:r w:rsidR="00CA03D3">
        <w:rPr>
          <w:i/>
          <w:iCs/>
        </w:rPr>
        <w:t xml:space="preserve"> </w:t>
      </w:r>
      <w:r w:rsidR="00CA03D3">
        <w:t>la giurisprudenza nel corso degli anni</w:t>
      </w:r>
      <w:r w:rsidR="00507C87">
        <w:t xml:space="preserve">, tanto da formare </w:t>
      </w:r>
      <w:r w:rsidR="00CA03D3">
        <w:t xml:space="preserve">un orientamento </w:t>
      </w:r>
      <w:r>
        <w:t xml:space="preserve">diametralmente </w:t>
      </w:r>
      <w:r w:rsidR="00B22C6C">
        <w:t>opposto</w:t>
      </w:r>
      <w:r w:rsidR="00CA03D3">
        <w:t xml:space="preserve"> rispetto a quanto </w:t>
      </w:r>
      <w:r>
        <w:t xml:space="preserve">oggi </w:t>
      </w:r>
      <w:r w:rsidR="00CA03D3">
        <w:t xml:space="preserve">contenuto nella modifica apportata </w:t>
      </w:r>
      <w:r w:rsidR="00B22C6C">
        <w:t>dalla Legge Finanziaria 2025</w:t>
      </w:r>
      <w:r w:rsidR="00CA03D3">
        <w:t>. Ricordiamo in particolare le sentenze di Corte di Cassazione n° 252/2012 e n° 10459/2018, relative all'ICP, in cui fu affermato il principio secondo il quale</w:t>
      </w:r>
      <w:r>
        <w:t>,</w:t>
      </w:r>
      <w:r w:rsidR="00CA03D3">
        <w:t xml:space="preserve"> nell’ipotesi di plurimi messaggi pubblicitari  di aziende diverse  collocati su un unico pannello, il tributo dovesse essere determinato in base alla superficie espositiva utilizzata da ciascuna delle imprese reclamizzate, indipendentemente dalle dimensioni del mezzo pubblicitario cumulativo</w:t>
      </w:r>
      <w:r>
        <w:t xml:space="preserve"> e indipendentemente dal titolo amministrativo rilasciato</w:t>
      </w:r>
      <w:r w:rsidR="00CA03D3">
        <w:t>.</w:t>
      </w:r>
      <w:r w:rsidR="00B22C6C">
        <w:t xml:space="preserve"> Del resto questi spazi</w:t>
      </w:r>
      <w:r>
        <w:t xml:space="preserve">, anche quando riferiti </w:t>
      </w:r>
      <w:r w:rsidR="00550A2F">
        <w:t>ad un’unica concessione,</w:t>
      </w:r>
      <w:r w:rsidR="00B22C6C">
        <w:t xml:space="preserve"> vengono commercializzati singolarmente dalla ditta che ha la disponibilità dell’impianto, così che il relativo beneficio economico deriva non tanto dall’impianto nel suo insieme, ma piuttosto dai singoli spazi espositivi sfruttati per la reclamizzazione di aziende diverse.</w:t>
      </w:r>
    </w:p>
    <w:p w14:paraId="76AE5A58" w14:textId="757C11E1" w:rsidR="00B1607E" w:rsidRPr="009B4984" w:rsidRDefault="00550A2F" w:rsidP="009B4984">
      <w:pPr>
        <w:jc w:val="both"/>
      </w:pPr>
      <w:r>
        <w:t>In ogni caso, o</w:t>
      </w:r>
      <w:r w:rsidR="00CA03D3">
        <w:t>ggi</w:t>
      </w:r>
      <w:r w:rsidR="00507C87">
        <w:t>,</w:t>
      </w:r>
      <w:r w:rsidR="00CA03D3">
        <w:t xml:space="preserve"> la modifica apportata alla disciplina, </w:t>
      </w:r>
      <w:r>
        <w:t xml:space="preserve">è Legge ed </w:t>
      </w:r>
      <w:r w:rsidR="00B22C6C">
        <w:t xml:space="preserve">impone di </w:t>
      </w:r>
      <w:r w:rsidR="00CA03D3">
        <w:t>rivedere</w:t>
      </w:r>
      <w:r w:rsidR="007C6C75">
        <w:t>, dal 2025,</w:t>
      </w:r>
      <w:r w:rsidR="00CA03D3">
        <w:t xml:space="preserve"> i criteri fin qui adottati, </w:t>
      </w:r>
      <w:r w:rsidR="00B445A1">
        <w:t>comportando</w:t>
      </w:r>
      <w:r w:rsidR="00CA03D3">
        <w:t xml:space="preserve"> </w:t>
      </w:r>
      <w:r>
        <w:t xml:space="preserve">sia </w:t>
      </w:r>
      <w:r w:rsidR="00CA03D3">
        <w:t>la revisione del</w:t>
      </w:r>
      <w:r w:rsidR="00B445A1">
        <w:t xml:space="preserve"> Regolamento comunale o provinciale</w:t>
      </w:r>
      <w:r>
        <w:t xml:space="preserve">, sia </w:t>
      </w:r>
      <w:r w:rsidR="00CA03D3">
        <w:t xml:space="preserve">la </w:t>
      </w:r>
      <w:r w:rsidR="008076B7">
        <w:t>riscrittura</w:t>
      </w:r>
      <w:r w:rsidR="00CA03D3">
        <w:t xml:space="preserve"> della banca dati, andando a rideterminare </w:t>
      </w:r>
      <w:r>
        <w:t>l’importo del</w:t>
      </w:r>
      <w:r w:rsidR="00CA03D3">
        <w:t xml:space="preserve"> </w:t>
      </w:r>
      <w:r>
        <w:t>canone dovuto dalle aziende pubblicitarie</w:t>
      </w:r>
      <w:r w:rsidR="00507C87">
        <w:t xml:space="preserve"> autorizzate ad installare impianti pubblicitari destinati ad accogliere plurimi messaggi, seguendo così </w:t>
      </w:r>
      <w:r w:rsidR="00CA03D3">
        <w:t xml:space="preserve">quanto disposto dalla </w:t>
      </w:r>
      <w:r>
        <w:t xml:space="preserve">nuova </w:t>
      </w:r>
      <w:r w:rsidR="00CA03D3">
        <w:t>legge Finanziaria.</w:t>
      </w:r>
    </w:p>
    <w:sectPr w:rsidR="00B1607E" w:rsidRPr="009B49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E4"/>
    <w:rsid w:val="00060149"/>
    <w:rsid w:val="00083B94"/>
    <w:rsid w:val="0008419D"/>
    <w:rsid w:val="000A3FFD"/>
    <w:rsid w:val="000E1734"/>
    <w:rsid w:val="000E5643"/>
    <w:rsid w:val="00187421"/>
    <w:rsid w:val="001D4F7C"/>
    <w:rsid w:val="001F7741"/>
    <w:rsid w:val="0020162E"/>
    <w:rsid w:val="00250C46"/>
    <w:rsid w:val="00252006"/>
    <w:rsid w:val="002773B0"/>
    <w:rsid w:val="002C0F62"/>
    <w:rsid w:val="004445C8"/>
    <w:rsid w:val="005036CA"/>
    <w:rsid w:val="00507C87"/>
    <w:rsid w:val="00515EAD"/>
    <w:rsid w:val="00522767"/>
    <w:rsid w:val="00550A2F"/>
    <w:rsid w:val="005918E4"/>
    <w:rsid w:val="006907AD"/>
    <w:rsid w:val="0076466F"/>
    <w:rsid w:val="00791FEE"/>
    <w:rsid w:val="007B1496"/>
    <w:rsid w:val="007C32ED"/>
    <w:rsid w:val="007C6C75"/>
    <w:rsid w:val="00803126"/>
    <w:rsid w:val="008076B7"/>
    <w:rsid w:val="00861D3E"/>
    <w:rsid w:val="008758CD"/>
    <w:rsid w:val="008C294C"/>
    <w:rsid w:val="00991FB0"/>
    <w:rsid w:val="009A64BE"/>
    <w:rsid w:val="009B4984"/>
    <w:rsid w:val="009D3115"/>
    <w:rsid w:val="00A74A93"/>
    <w:rsid w:val="00A94BEC"/>
    <w:rsid w:val="00A9579F"/>
    <w:rsid w:val="00AE165D"/>
    <w:rsid w:val="00B1607E"/>
    <w:rsid w:val="00B22C6C"/>
    <w:rsid w:val="00B32E41"/>
    <w:rsid w:val="00B445A1"/>
    <w:rsid w:val="00B976BC"/>
    <w:rsid w:val="00C16AB6"/>
    <w:rsid w:val="00C274FD"/>
    <w:rsid w:val="00C81843"/>
    <w:rsid w:val="00CA03D3"/>
    <w:rsid w:val="00CD66EA"/>
    <w:rsid w:val="00D01C87"/>
    <w:rsid w:val="00D376F1"/>
    <w:rsid w:val="00D65DEB"/>
    <w:rsid w:val="00D71BEB"/>
    <w:rsid w:val="00D76B6D"/>
    <w:rsid w:val="00E30844"/>
    <w:rsid w:val="00ED210F"/>
    <w:rsid w:val="00F54C09"/>
    <w:rsid w:val="00F70C2F"/>
    <w:rsid w:val="00F72468"/>
    <w:rsid w:val="00FC2F1D"/>
    <w:rsid w:val="00FE6AA0"/>
    <w:rsid w:val="00FE72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F449"/>
  <w15:chartTrackingRefBased/>
  <w15:docId w15:val="{6835A6D1-D2C4-4843-A74D-6B5B2386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6907AD"/>
    <w:rPr>
      <w:color w:val="0563C1" w:themeColor="hyperlink"/>
      <w:u w:val="single"/>
    </w:rPr>
  </w:style>
  <w:style w:type="character" w:styleId="Menzionenonrisolta">
    <w:name w:val="Unresolved Mention"/>
    <w:basedOn w:val="Carpredefinitoparagrafo"/>
    <w:uiPriority w:val="99"/>
    <w:semiHidden/>
    <w:unhideWhenUsed/>
    <w:rsid w:val="00690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421">
      <w:bodyDiv w:val="1"/>
      <w:marLeft w:val="0"/>
      <w:marRight w:val="0"/>
      <w:marTop w:val="0"/>
      <w:marBottom w:val="0"/>
      <w:divBdr>
        <w:top w:val="none" w:sz="0" w:space="0" w:color="auto"/>
        <w:left w:val="none" w:sz="0" w:space="0" w:color="auto"/>
        <w:bottom w:val="none" w:sz="0" w:space="0" w:color="auto"/>
        <w:right w:val="none" w:sz="0" w:space="0" w:color="auto"/>
      </w:divBdr>
    </w:div>
    <w:div w:id="590314762">
      <w:bodyDiv w:val="1"/>
      <w:marLeft w:val="0"/>
      <w:marRight w:val="0"/>
      <w:marTop w:val="0"/>
      <w:marBottom w:val="0"/>
      <w:divBdr>
        <w:top w:val="none" w:sz="0" w:space="0" w:color="auto"/>
        <w:left w:val="none" w:sz="0" w:space="0" w:color="auto"/>
        <w:bottom w:val="none" w:sz="0" w:space="0" w:color="auto"/>
        <w:right w:val="none" w:sz="0" w:space="0" w:color="auto"/>
      </w:divBdr>
    </w:div>
    <w:div w:id="887910930">
      <w:bodyDiv w:val="1"/>
      <w:marLeft w:val="0"/>
      <w:marRight w:val="0"/>
      <w:marTop w:val="0"/>
      <w:marBottom w:val="0"/>
      <w:divBdr>
        <w:top w:val="none" w:sz="0" w:space="0" w:color="auto"/>
        <w:left w:val="none" w:sz="0" w:space="0" w:color="auto"/>
        <w:bottom w:val="none" w:sz="0" w:space="0" w:color="auto"/>
        <w:right w:val="none" w:sz="0" w:space="0" w:color="auto"/>
      </w:divBdr>
    </w:div>
    <w:div w:id="144842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4</Pages>
  <Words>2050</Words>
  <Characters>11689</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28</cp:revision>
  <dcterms:created xsi:type="dcterms:W3CDTF">2025-01-10T14:01:00Z</dcterms:created>
  <dcterms:modified xsi:type="dcterms:W3CDTF">2025-01-16T14:22:00Z</dcterms:modified>
</cp:coreProperties>
</file>