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326F" w14:textId="19272D43" w:rsidR="00060149" w:rsidRDefault="00861E21">
      <w:r>
        <w:t>Titolo: Le</w:t>
      </w:r>
      <w:r w:rsidR="00292BC4">
        <w:t>gittimo non prevedere delle</w:t>
      </w:r>
      <w:r>
        <w:t xml:space="preserve"> esenzioni CUP </w:t>
      </w:r>
      <w:r w:rsidR="00F62ADF">
        <w:t>in ambito locale</w:t>
      </w:r>
    </w:p>
    <w:p w14:paraId="5899480D" w14:textId="6ED52AF5" w:rsidR="00861E21" w:rsidRDefault="00861E21">
      <w:r>
        <w:t>Di Alessandro Merciari</w:t>
      </w:r>
    </w:p>
    <w:p w14:paraId="17104AA0" w14:textId="77777777" w:rsidR="00861E21" w:rsidRDefault="00861E21"/>
    <w:p w14:paraId="453CE555" w14:textId="6DF3CE88" w:rsidR="00861E21" w:rsidRDefault="00861E21" w:rsidP="00861E21">
      <w:pPr>
        <w:jc w:val="both"/>
      </w:pPr>
      <w:r>
        <w:t xml:space="preserve">Una recente sentenza del TAR Sardegna </w:t>
      </w:r>
      <w:r w:rsidR="00DC1A36">
        <w:t>riaccende</w:t>
      </w:r>
      <w:r>
        <w:t xml:space="preserve"> l’attenzione</w:t>
      </w:r>
      <w:r w:rsidR="00DC1A36">
        <w:t xml:space="preserve"> sul </w:t>
      </w:r>
      <w:r>
        <w:t xml:space="preserve">tema delle ipotesi di esenzione previste in materia di Canone Unico. Più volte in passato ci siamo occupati della tematica, ricordando come il Legislatore </w:t>
      </w:r>
      <w:r w:rsidR="00DC1A36">
        <w:t>aveva</w:t>
      </w:r>
      <w:r>
        <w:t xml:space="preserve"> </w:t>
      </w:r>
      <w:r w:rsidR="00F62ADF">
        <w:t>innanzi tutto fissato</w:t>
      </w:r>
      <w:r>
        <w:t xml:space="preserve"> </w:t>
      </w:r>
      <w:r w:rsidR="00DC1A36">
        <w:t xml:space="preserve">un elenco, </w:t>
      </w:r>
      <w:r w:rsidR="00DC1A36">
        <w:t>non derogabil</w:t>
      </w:r>
      <w:r w:rsidR="00DC1A36">
        <w:t>e</w:t>
      </w:r>
      <w:r w:rsidR="00DC1A36">
        <w:t xml:space="preserve"> dagli enti locali</w:t>
      </w:r>
      <w:r w:rsidR="00DC1A36">
        <w:t xml:space="preserve">, </w:t>
      </w:r>
      <w:r w:rsidR="00C76616">
        <w:t>delle</w:t>
      </w:r>
      <w:r>
        <w:t xml:space="preserve"> fattispecie </w:t>
      </w:r>
      <w:r w:rsidR="00DC1A36">
        <w:t xml:space="preserve">esenti dal pagamento individuandole </w:t>
      </w:r>
      <w:r>
        <w:t>al comma 833 della legge 160/2019, la normativa di riferimento della nuova entrata</w:t>
      </w:r>
      <w:r w:rsidR="00C76616">
        <w:t>, e, n</w:t>
      </w:r>
      <w:r w:rsidR="00DC1A36">
        <w:t>el contempo</w:t>
      </w:r>
      <w:r>
        <w:t xml:space="preserve">, al comma 821, </w:t>
      </w:r>
      <w:r w:rsidR="00C76616">
        <w:t xml:space="preserve">prevedeva </w:t>
      </w:r>
      <w:r>
        <w:t xml:space="preserve">la possibilità di introdurre ulteriori ipotesi di esenzione, nell’ambito della potestà regolamentare riconosciuta agli enti locali in materia di proprie entrate in forza dell’articolo 52 del </w:t>
      </w:r>
      <w:r w:rsidR="007B68D8">
        <w:t>D.lgs.</w:t>
      </w:r>
      <w:r>
        <w:t xml:space="preserve"> 446/97.</w:t>
      </w:r>
      <w:r w:rsidR="00C76616">
        <w:t xml:space="preserve"> Ipotesi che trovavano applicazione solo nell’ambito del territorio gestito dall’ente locale.</w:t>
      </w:r>
    </w:p>
    <w:p w14:paraId="2C827BC5" w14:textId="6A4820B0" w:rsidR="00861E21" w:rsidRDefault="00861E21" w:rsidP="00861E21">
      <w:pPr>
        <w:jc w:val="both"/>
      </w:pPr>
      <w:r w:rsidRPr="00861E21">
        <w:t>Come ricordato dalla Corte dei Conti</w:t>
      </w:r>
      <w:r>
        <w:t xml:space="preserve">, </w:t>
      </w:r>
      <w:r w:rsidR="00DC1A36">
        <w:t xml:space="preserve">e come affermato in diversi contenziosi legati alle ipotesi agevolative, </w:t>
      </w:r>
      <w:r w:rsidRPr="00861E21">
        <w:t xml:space="preserve">sul tema delle esenzioni dal Canone Unico, </w:t>
      </w:r>
      <w:r>
        <w:t xml:space="preserve">vige il principio secondo il quale </w:t>
      </w:r>
      <w:r w:rsidRPr="00861E21">
        <w:t>le norme di agevolazione o di esenzione da una debenza tributaria o patrimoniale non consentono mai una loro interpretazione analogica ed estensiva</w:t>
      </w:r>
      <w:r w:rsidR="00DC1A36">
        <w:t>. Principio fondamentale che ha consentito di fissare il perimetro delle ipotesi alle quali applicare l’esenzione dal pagamento</w:t>
      </w:r>
      <w:r w:rsidR="00C76616">
        <w:t xml:space="preserve"> e che ritroviamo anche nell’analisi odierna.</w:t>
      </w:r>
    </w:p>
    <w:p w14:paraId="33282914" w14:textId="4E35810C" w:rsidR="00CA1871" w:rsidRDefault="00CA1871" w:rsidP="00CA1871">
      <w:pPr>
        <w:jc w:val="both"/>
      </w:pPr>
      <w:r>
        <w:t xml:space="preserve">Grazie alla potestà regolamentare, che trova la sua più ampia espressione per le entrate patrimoniali, l’Amministrazione Comunale può in linea generale decidere di esentare o prevedere una particolare riduzione tariffaria per diverse tipologie, </w:t>
      </w:r>
      <w:r w:rsidR="00DC1A36">
        <w:t xml:space="preserve">a condizione che siano rispettati </w:t>
      </w:r>
      <w:r>
        <w:t xml:space="preserve">gli equilibri finanziari dell’Ente e alcuni principi, tra </w:t>
      </w:r>
      <w:r w:rsidR="00DC1A36">
        <w:t>i quali</w:t>
      </w:r>
      <w:r>
        <w:t xml:space="preserve"> quello del “beneficio economico” di colui che effettua l’occupazione o la diffusione pubblicitaria e del “sacrificio che si impone alla collettività” derivante proprio dall’occupazione o dall’impianto pubblicitario installato su  spazi solitamente destinati all’uso indiscriminato della collettività.</w:t>
      </w:r>
      <w:r w:rsidR="00C76616">
        <w:t xml:space="preserve"> Come detto queste ipotesi inserite nella disciplina regolamentare trovano chiaramente applicazione esclusivamente nell’ambito territoriale dell’Ente che le ha previste e a nulla vale se diverse amministrazioni locali, seppur confinanti o vicine, non le hanno previste. Non si genera </w:t>
      </w:r>
      <w:r w:rsidR="00C76616" w:rsidRPr="00C76616">
        <w:t xml:space="preserve">disparità di trattamento </w:t>
      </w:r>
      <w:proofErr w:type="gramStart"/>
      <w:r w:rsidR="00C76616">
        <w:t>n</w:t>
      </w:r>
      <w:r w:rsidR="00C76616" w:rsidRPr="00C76616">
        <w:t>e</w:t>
      </w:r>
      <w:proofErr w:type="gramEnd"/>
      <w:r w:rsidR="00C76616" w:rsidRPr="00C76616">
        <w:t xml:space="preserve"> violazione del principio di uguaglianza</w:t>
      </w:r>
      <w:r w:rsidR="00C76616">
        <w:t>, semplicemente si forma quella potestà regolamentare che ammette discipline differenti anche tra comuni limitrofi.</w:t>
      </w:r>
    </w:p>
    <w:p w14:paraId="28F59C41" w14:textId="4770CED2" w:rsidR="007C63F0" w:rsidRDefault="00B450CD" w:rsidP="00AB48B8">
      <w:pPr>
        <w:jc w:val="both"/>
      </w:pPr>
      <w:r>
        <w:t xml:space="preserve">Con la sentenza n. 226 del 10/03/2025 la </w:t>
      </w:r>
      <w:r w:rsidR="00DC1A36">
        <w:t xml:space="preserve">prima </w:t>
      </w:r>
      <w:r w:rsidR="00AB48B8">
        <w:t>sezione del</w:t>
      </w:r>
      <w:r>
        <w:t xml:space="preserve"> TAR Cagliari</w:t>
      </w:r>
      <w:r w:rsidR="00AB48B8">
        <w:t>, in una vertenza nella quale veniva contestata la mancata previsione di esenzione per occupazioni conseguenti una calamità naturale</w:t>
      </w:r>
      <w:r w:rsidR="00C76616">
        <w:t xml:space="preserve"> già prevista in altri contesti territoriali</w:t>
      </w:r>
      <w:r w:rsidR="00AB48B8">
        <w:t xml:space="preserve">, </w:t>
      </w:r>
      <w:r>
        <w:t xml:space="preserve"> ha chiaramente </w:t>
      </w:r>
      <w:r w:rsidR="00AB48B8">
        <w:t>rilevato</w:t>
      </w:r>
      <w:r>
        <w:t xml:space="preserve"> </w:t>
      </w:r>
      <w:r w:rsidR="00AB48B8">
        <w:t>come le ipotesi di esenzione previste dal</w:t>
      </w:r>
      <w:r w:rsidR="00AB48B8">
        <w:t xml:space="preserve">la </w:t>
      </w:r>
      <w:r w:rsidR="00AB48B8">
        <w:t>L</w:t>
      </w:r>
      <w:r w:rsidR="00AB48B8">
        <w:t xml:space="preserve">egge </w:t>
      </w:r>
      <w:r w:rsidR="00AB48B8">
        <w:t xml:space="preserve">devono considerarsi </w:t>
      </w:r>
      <w:r w:rsidR="00AB48B8">
        <w:t>obbligatorie e che, come tali, vincolano perciò tutti i comuni, che devono</w:t>
      </w:r>
      <w:r w:rsidR="00AB48B8">
        <w:t xml:space="preserve"> </w:t>
      </w:r>
      <w:r w:rsidR="00AB48B8">
        <w:t>prevederle e che risulteranno perciò applicate su tutto il territorio nazionale</w:t>
      </w:r>
      <w:r w:rsidR="00AB48B8">
        <w:t>, e tra queste il Legislatore non ha previsto l’esenzione per calamità naturali</w:t>
      </w:r>
      <w:r w:rsidR="00C76616">
        <w:t>, m</w:t>
      </w:r>
      <w:r w:rsidR="00AB48B8">
        <w:t xml:space="preserve">entre </w:t>
      </w:r>
      <w:r w:rsidR="00AB48B8">
        <w:t>la facoltà di prevedere ulteriori ipotesi di esenzione dal</w:t>
      </w:r>
      <w:r w:rsidR="00AB48B8">
        <w:t xml:space="preserve"> </w:t>
      </w:r>
      <w:r w:rsidR="00AB48B8">
        <w:t>canone</w:t>
      </w:r>
      <w:r w:rsidR="00AB48B8">
        <w:t xml:space="preserve"> </w:t>
      </w:r>
      <w:r w:rsidR="00AB48B8">
        <w:t>presuppone la possibilità che in</w:t>
      </w:r>
      <w:r w:rsidR="00AB48B8">
        <w:t xml:space="preserve"> </w:t>
      </w:r>
      <w:r w:rsidR="00AB48B8">
        <w:t xml:space="preserve">alcuni comuni italiani tali ipotesi siano previste e in altri invece </w:t>
      </w:r>
      <w:r w:rsidR="00AB48B8">
        <w:t xml:space="preserve">non siano </w:t>
      </w:r>
      <w:r w:rsidR="00AB48B8">
        <w:t>contempl</w:t>
      </w:r>
      <w:r w:rsidR="00AB48B8">
        <w:t>ate</w:t>
      </w:r>
      <w:r w:rsidR="00AB48B8">
        <w:t>.</w:t>
      </w:r>
      <w:r w:rsidR="00AB48B8">
        <w:t xml:space="preserve"> </w:t>
      </w:r>
    </w:p>
    <w:p w14:paraId="41094658" w14:textId="72FE8307" w:rsidR="00AB48B8" w:rsidRPr="00AB48B8" w:rsidRDefault="00AB48B8" w:rsidP="00AB48B8">
      <w:pPr>
        <w:jc w:val="both"/>
      </w:pPr>
      <w:r>
        <w:t xml:space="preserve">Ed è proprio quanto accaduto nel caso esaminato dove </w:t>
      </w:r>
      <w:r w:rsidRPr="00AB48B8">
        <w:t xml:space="preserve">la stessa parte ricorrente </w:t>
      </w:r>
      <w:r>
        <w:t xml:space="preserve">rilevava come </w:t>
      </w:r>
      <w:r w:rsidRPr="00AB48B8">
        <w:t>l’ipotesi</w:t>
      </w:r>
      <w:r>
        <w:t xml:space="preserve"> </w:t>
      </w:r>
      <w:r w:rsidRPr="00AB48B8">
        <w:t xml:space="preserve">dell’esenzione del canone per calamità naturali non </w:t>
      </w:r>
      <w:r>
        <w:t>era</w:t>
      </w:r>
      <w:r w:rsidRPr="00AB48B8">
        <w:t xml:space="preserve"> prevista tra le</w:t>
      </w:r>
      <w:r>
        <w:t xml:space="preserve"> </w:t>
      </w:r>
      <w:r w:rsidRPr="00AB48B8">
        <w:t xml:space="preserve">esenzioni indicate </w:t>
      </w:r>
      <w:r w:rsidRPr="00AB48B8">
        <w:rPr>
          <w:i/>
          <w:iCs/>
        </w:rPr>
        <w:t xml:space="preserve">ex lege </w:t>
      </w:r>
      <w:r w:rsidRPr="00AB48B8">
        <w:t>dall’art. 1, comma 833 Legge 27 dicembre 2019, n.160, lamenta</w:t>
      </w:r>
      <w:r>
        <w:t>ndone nel contempo</w:t>
      </w:r>
      <w:r w:rsidRPr="00AB48B8">
        <w:t xml:space="preserve"> l’omessa previsione in forza della clausola di cui all’art.1, comma 821: “</w:t>
      </w:r>
      <w:r w:rsidRPr="00AB48B8">
        <w:rPr>
          <w:i/>
          <w:iCs/>
        </w:rPr>
        <w:t>il canone è disciplinato dagli enti, con regolamento da adottare dal</w:t>
      </w:r>
      <w:r>
        <w:rPr>
          <w:i/>
          <w:iCs/>
        </w:rPr>
        <w:t xml:space="preserve"> </w:t>
      </w:r>
      <w:r w:rsidRPr="00AB48B8">
        <w:rPr>
          <w:i/>
          <w:iCs/>
        </w:rPr>
        <w:t>consiglio comunale o provinciale, ai sensi dell'articolo 52 del decreto legislativo 15</w:t>
      </w:r>
      <w:r>
        <w:rPr>
          <w:i/>
          <w:iCs/>
        </w:rPr>
        <w:t xml:space="preserve"> </w:t>
      </w:r>
      <w:r w:rsidRPr="00AB48B8">
        <w:rPr>
          <w:i/>
          <w:iCs/>
        </w:rPr>
        <w:t>dicembre 1997, n. 446, in cui devono essere indicati: […] f. le ulteriori esenzioni o</w:t>
      </w:r>
      <w:r>
        <w:rPr>
          <w:i/>
          <w:iCs/>
        </w:rPr>
        <w:t xml:space="preserve"> </w:t>
      </w:r>
      <w:r w:rsidRPr="00AB48B8">
        <w:rPr>
          <w:i/>
          <w:iCs/>
        </w:rPr>
        <w:t>riduzioni rispetto a quelle disciplinate dai commi da 816 a 847</w:t>
      </w:r>
      <w:r w:rsidRPr="00AB48B8">
        <w:t>”.</w:t>
      </w:r>
    </w:p>
    <w:p w14:paraId="18EE5F1F" w14:textId="7BE12256" w:rsidR="00AB48B8" w:rsidRPr="00AB48B8" w:rsidRDefault="007C63F0" w:rsidP="00AB48B8">
      <w:pPr>
        <w:jc w:val="both"/>
        <w:rPr>
          <w:i/>
          <w:iCs/>
        </w:rPr>
      </w:pPr>
      <w:r>
        <w:t xml:space="preserve">I giudici Amministrativi del TAR Sardegna decidevano di respingere il ricorso specificando che: </w:t>
      </w:r>
      <w:r w:rsidRPr="001241F9">
        <w:rPr>
          <w:i/>
          <w:iCs/>
        </w:rPr>
        <w:t>“</w:t>
      </w:r>
      <w:r w:rsidR="00AB48B8" w:rsidRPr="00AB48B8">
        <w:rPr>
          <w:i/>
          <w:iCs/>
        </w:rPr>
        <w:t>l’omessa previsione di una esenzione dal pagamento del canone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per calamità naturali – salvo peraltro quanto già detto in merito alle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specificità del caso che occupa – comunque non appare determinare una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 xml:space="preserve">ipotesi di esercizio del </w:t>
      </w:r>
      <w:r w:rsidR="00AB48B8" w:rsidRPr="00AB48B8">
        <w:rPr>
          <w:i/>
          <w:iCs/>
        </w:rPr>
        <w:lastRenderedPageBreak/>
        <w:t>potere discrezionale di carattere arbitrario,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irragionevole o illogico.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 xml:space="preserve">Senz’altro ciò non può discendere </w:t>
      </w:r>
      <w:r w:rsidR="00F62ADF">
        <w:rPr>
          <w:i/>
          <w:iCs/>
        </w:rPr>
        <w:t>“</w:t>
      </w:r>
      <w:r w:rsidR="00AB48B8" w:rsidRPr="00AB48B8">
        <w:rPr>
          <w:i/>
          <w:iCs/>
        </w:rPr>
        <w:t>sic et simpliciter</w:t>
      </w:r>
      <w:r w:rsidR="00F62ADF">
        <w:rPr>
          <w:i/>
          <w:iCs/>
        </w:rPr>
        <w:t>”</w:t>
      </w:r>
      <w:r w:rsidR="00AB48B8" w:rsidRPr="00AB48B8">
        <w:rPr>
          <w:i/>
          <w:iCs/>
        </w:rPr>
        <w:t xml:space="preserve"> dalla previsione di tale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ipotesi da parte di alcuni comuni italiani, essendo evidentemente un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ragionamento giuridico fallace quello per cui tale circostanza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determinerebbe un ingiustificato trattamento dei cittadini residenti nei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comuni che tale ipotesi non prevedono.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Una siffatta considerazione è infatti valida soltanto per istituti quali i livelli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essenziali delle prestazioni, ma non può semplicemente affermarsi che la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circostanza che alcuni comuni adottino una disciplina del C.U.P. più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favorevole per i privati determini che</w:t>
      </w:r>
      <w:r w:rsidR="00AB48B8" w:rsidRPr="00AB48B8">
        <w:t xml:space="preserve"> </w:t>
      </w:r>
      <w:r w:rsidR="00AB48B8" w:rsidRPr="00AB48B8">
        <w:rPr>
          <w:i/>
          <w:iCs/>
        </w:rPr>
        <w:t>diverse discipline da parte di altri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comuni siano illegittime per disparità di trattamento e violazione del</w:t>
      </w:r>
      <w:r w:rsidRPr="001241F9">
        <w:rPr>
          <w:i/>
          <w:iCs/>
        </w:rPr>
        <w:t xml:space="preserve"> </w:t>
      </w:r>
      <w:r w:rsidR="00AB48B8" w:rsidRPr="00AB48B8">
        <w:rPr>
          <w:i/>
          <w:iCs/>
        </w:rPr>
        <w:t>principio di uguaglianza.</w:t>
      </w:r>
    </w:p>
    <w:p w14:paraId="1D1D4BC0" w14:textId="002622E3" w:rsidR="00AB48B8" w:rsidRPr="00AB48B8" w:rsidRDefault="00AB48B8" w:rsidP="00AB48B8">
      <w:pPr>
        <w:jc w:val="both"/>
        <w:rPr>
          <w:i/>
          <w:iCs/>
        </w:rPr>
      </w:pPr>
      <w:r w:rsidRPr="00AB48B8">
        <w:rPr>
          <w:i/>
          <w:iCs/>
        </w:rPr>
        <w:t>Vieppiù quando la legge prevede delle ipotesi di esenzione dal canone</w:t>
      </w:r>
      <w:r w:rsidR="001241F9" w:rsidRPr="001241F9">
        <w:rPr>
          <w:i/>
          <w:iCs/>
        </w:rPr>
        <w:t xml:space="preserve"> </w:t>
      </w:r>
      <w:r w:rsidRPr="00AB48B8">
        <w:rPr>
          <w:i/>
          <w:iCs/>
        </w:rPr>
        <w:t>obbligatorie e che, come tali, vincolano perciò tutti i comuni, che devono</w:t>
      </w:r>
      <w:r w:rsidR="001241F9" w:rsidRPr="001241F9">
        <w:rPr>
          <w:i/>
          <w:iCs/>
        </w:rPr>
        <w:t xml:space="preserve"> </w:t>
      </w:r>
      <w:r w:rsidRPr="00AB48B8">
        <w:rPr>
          <w:i/>
          <w:iCs/>
        </w:rPr>
        <w:t>prevederle e che risulteranno perciò applicate su tutto il territorio nazionale.</w:t>
      </w:r>
    </w:p>
    <w:p w14:paraId="5E1021BA" w14:textId="287B5D10" w:rsidR="00AB48B8" w:rsidRDefault="00AB48B8" w:rsidP="00AB48B8">
      <w:pPr>
        <w:jc w:val="both"/>
        <w:rPr>
          <w:i/>
          <w:iCs/>
        </w:rPr>
      </w:pPr>
      <w:r w:rsidRPr="00AB48B8">
        <w:rPr>
          <w:i/>
          <w:iCs/>
        </w:rPr>
        <w:t>È proprio invece la facoltà di prevedere ulteriori ipotesi di esenzione dal</w:t>
      </w:r>
      <w:r w:rsidR="001241F9" w:rsidRPr="001241F9">
        <w:rPr>
          <w:i/>
          <w:iCs/>
        </w:rPr>
        <w:t xml:space="preserve"> </w:t>
      </w:r>
      <w:r w:rsidRPr="00AB48B8">
        <w:rPr>
          <w:i/>
          <w:iCs/>
        </w:rPr>
        <w:t>canone, appunto facoltative, che legittima e presuppone la possibilità che in</w:t>
      </w:r>
      <w:r w:rsidR="001241F9" w:rsidRPr="001241F9">
        <w:rPr>
          <w:i/>
          <w:iCs/>
        </w:rPr>
        <w:t xml:space="preserve"> </w:t>
      </w:r>
      <w:r w:rsidRPr="00AB48B8">
        <w:rPr>
          <w:i/>
          <w:iCs/>
        </w:rPr>
        <w:t>alcuni comuni italiani tali ipotesi siano previste e in altri invece l’ente locale,</w:t>
      </w:r>
      <w:r w:rsidR="001241F9" w:rsidRPr="001241F9">
        <w:rPr>
          <w:i/>
          <w:iCs/>
        </w:rPr>
        <w:t xml:space="preserve"> </w:t>
      </w:r>
      <w:r w:rsidRPr="00AB48B8">
        <w:rPr>
          <w:i/>
          <w:iCs/>
        </w:rPr>
        <w:t>nell’esercizio del proprio potere discrezionale regolamentare, non le</w:t>
      </w:r>
      <w:r w:rsidR="001241F9" w:rsidRPr="001241F9">
        <w:rPr>
          <w:i/>
          <w:iCs/>
        </w:rPr>
        <w:t xml:space="preserve"> </w:t>
      </w:r>
      <w:r w:rsidRPr="001241F9">
        <w:rPr>
          <w:i/>
          <w:iCs/>
        </w:rPr>
        <w:t>contempli.</w:t>
      </w:r>
    </w:p>
    <w:p w14:paraId="71414F57" w14:textId="70F128CD" w:rsidR="001241F9" w:rsidRPr="001241F9" w:rsidRDefault="001241F9" w:rsidP="00AB48B8">
      <w:pPr>
        <w:jc w:val="both"/>
      </w:pPr>
      <w:r>
        <w:t xml:space="preserve">Il TAR Sardegna affronta quindi il tema della autonomia riconosciuta ai singoli enti che esercitano la propria potestà </w:t>
      </w:r>
      <w:r w:rsidR="00264434">
        <w:t>riconoscendo</w:t>
      </w:r>
      <w:r w:rsidR="00563B4F">
        <w:t>,</w:t>
      </w:r>
      <w:r>
        <w:t xml:space="preserve"> </w:t>
      </w:r>
      <w:r w:rsidR="00563B4F">
        <w:t xml:space="preserve">nel proprio ambito territoriale, </w:t>
      </w:r>
      <w:r>
        <w:t xml:space="preserve">agevolazioni che potrebbero </w:t>
      </w:r>
      <w:r w:rsidR="00563B4F">
        <w:t xml:space="preserve">tuttavia </w:t>
      </w:r>
      <w:r>
        <w:t xml:space="preserve">non trovare </w:t>
      </w:r>
      <w:r w:rsidR="00264434">
        <w:t>applicazione</w:t>
      </w:r>
      <w:r>
        <w:t xml:space="preserve"> in </w:t>
      </w:r>
      <w:r w:rsidR="00563B4F">
        <w:t>altre</w:t>
      </w:r>
      <w:r>
        <w:t xml:space="preserve"> amministrazioni, anche </w:t>
      </w:r>
      <w:r w:rsidR="00264434">
        <w:t>appartenenti</w:t>
      </w:r>
      <w:r>
        <w:t xml:space="preserve"> alla stessa area </w:t>
      </w:r>
      <w:r w:rsidR="00563B4F">
        <w:t>provinciale</w:t>
      </w:r>
      <w:r>
        <w:t xml:space="preserve">. È una di quelle situazioni che caratterizzano la </w:t>
      </w:r>
      <w:r w:rsidR="00264434">
        <w:t>disciplina</w:t>
      </w:r>
      <w:r>
        <w:t xml:space="preserve"> delle entrate degli Enti Locali che, seppur </w:t>
      </w:r>
      <w:r w:rsidR="00264434">
        <w:t>marginalmente</w:t>
      </w:r>
      <w:r>
        <w:t xml:space="preserve">, posso </w:t>
      </w:r>
      <w:r w:rsidR="00563B4F">
        <w:t xml:space="preserve">legittimamente </w:t>
      </w:r>
      <w:r>
        <w:t xml:space="preserve">definire </w:t>
      </w:r>
      <w:r w:rsidR="009F4797">
        <w:t xml:space="preserve">riduzioni o esenzioni </w:t>
      </w:r>
      <w:r w:rsidR="00563B4F">
        <w:t>oltre quelle stabilite dal legislatore. Ottomila discipline locali che cambiano a distanza di pochi chilometri, alcune volte a vantaggio dei contribuenti altre no.</w:t>
      </w:r>
    </w:p>
    <w:p w14:paraId="37324BFC" w14:textId="77777777" w:rsidR="00CA1871" w:rsidRDefault="00CA1871" w:rsidP="00CA1871">
      <w:pPr>
        <w:jc w:val="both"/>
      </w:pPr>
    </w:p>
    <w:p w14:paraId="46A51BAA" w14:textId="77777777" w:rsidR="00861E21" w:rsidRDefault="00861E21" w:rsidP="00861E21">
      <w:pPr>
        <w:jc w:val="both"/>
      </w:pPr>
    </w:p>
    <w:sectPr w:rsidR="00861E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27"/>
    <w:rsid w:val="0000495C"/>
    <w:rsid w:val="00060149"/>
    <w:rsid w:val="00122F70"/>
    <w:rsid w:val="001241F9"/>
    <w:rsid w:val="001C7316"/>
    <w:rsid w:val="00264434"/>
    <w:rsid w:val="00292BC4"/>
    <w:rsid w:val="00325C0A"/>
    <w:rsid w:val="00563B4F"/>
    <w:rsid w:val="007B1496"/>
    <w:rsid w:val="007B68D8"/>
    <w:rsid w:val="007C63F0"/>
    <w:rsid w:val="00861E21"/>
    <w:rsid w:val="009F4797"/>
    <w:rsid w:val="00AB48B8"/>
    <w:rsid w:val="00B450CD"/>
    <w:rsid w:val="00C76616"/>
    <w:rsid w:val="00CA1871"/>
    <w:rsid w:val="00DC1A36"/>
    <w:rsid w:val="00F62ADF"/>
    <w:rsid w:val="00FE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0E99"/>
  <w15:chartTrackingRefBased/>
  <w15:docId w15:val="{BB111C43-80F6-4AEC-8901-0BEE3EBB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1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1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1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1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1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1E2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1E2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1E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1E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1E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1E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1E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1E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1E2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1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1E2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1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13</cp:revision>
  <dcterms:created xsi:type="dcterms:W3CDTF">2025-07-03T13:15:00Z</dcterms:created>
  <dcterms:modified xsi:type="dcterms:W3CDTF">2025-07-06T17:06:00Z</dcterms:modified>
</cp:coreProperties>
</file>