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6F983" w14:textId="55F21AB9" w:rsidR="00D43694" w:rsidRPr="00F722ED" w:rsidRDefault="00F7270B" w:rsidP="00E2405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22ED">
        <w:rPr>
          <w:rFonts w:ascii="Times New Roman" w:hAnsi="Times New Roman" w:cs="Times New Roman"/>
          <w:b/>
          <w:bCs/>
          <w:sz w:val="24"/>
          <w:szCs w:val="24"/>
        </w:rPr>
        <w:t>ARGOMENTI MASTER</w:t>
      </w:r>
      <w:r w:rsidR="00F722ED" w:rsidRPr="00F722E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C4E0B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43892BAB" w14:textId="77777777" w:rsidR="00F7270B" w:rsidRDefault="00F7270B" w:rsidP="00E2405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06119E" w14:textId="047DBA36" w:rsidR="00186BF3" w:rsidRPr="00186BF3" w:rsidRDefault="00186BF3" w:rsidP="00E2405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6BF3">
        <w:rPr>
          <w:rFonts w:ascii="Times New Roman" w:hAnsi="Times New Roman" w:cs="Times New Roman"/>
          <w:b/>
          <w:bCs/>
          <w:sz w:val="24"/>
          <w:szCs w:val="24"/>
        </w:rPr>
        <w:t>L’IMU, LA TARI E L’ACCERTAMENTO ESECUTIVO DOPO LA DELEGA FISCALE</w:t>
      </w:r>
    </w:p>
    <w:p w14:paraId="04C6420A" w14:textId="77777777" w:rsidR="00186BF3" w:rsidRPr="00E2405C" w:rsidRDefault="00186BF3" w:rsidP="00E2405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49E026" w14:textId="1FE77EE0" w:rsidR="00D43694" w:rsidRPr="00E2405C" w:rsidRDefault="00D43694" w:rsidP="00E2405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Modulo 1 = 4 ore</w:t>
      </w:r>
    </w:p>
    <w:p w14:paraId="49DDF649" w14:textId="77777777" w:rsidR="001D03FD" w:rsidRDefault="001D03FD" w:rsidP="00B567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4BC50F" w14:textId="162499DB" w:rsidR="00B56762" w:rsidRPr="00B56762" w:rsidRDefault="00B56762" w:rsidP="00B567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6762">
        <w:rPr>
          <w:rFonts w:ascii="Times New Roman" w:hAnsi="Times New Roman" w:cs="Times New Roman"/>
          <w:b/>
          <w:bCs/>
          <w:sz w:val="24"/>
          <w:szCs w:val="24"/>
        </w:rPr>
        <w:t>LE ENTARTE LOCALI E LE MODALITA’ DI GESTIONE</w:t>
      </w:r>
    </w:p>
    <w:p w14:paraId="3990CFF5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3D7A9DB" w14:textId="014E018C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 delega fiscale 111/2023</w:t>
      </w:r>
    </w:p>
    <w:p w14:paraId="6BA0396C" w14:textId="375E6CDA" w:rsidR="00B56762" w:rsidRPr="00B56762" w:rsidRDefault="00B56762" w:rsidP="00B56762">
      <w:pPr>
        <w:pStyle w:val="Paragrafoelenco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56762">
        <w:rPr>
          <w:rFonts w:ascii="Times New Roman" w:hAnsi="Times New Roman" w:cs="Times New Roman"/>
          <w:i/>
          <w:iCs/>
          <w:sz w:val="24"/>
          <w:szCs w:val="24"/>
        </w:rPr>
        <w:t>I decreti attuativi saranno trattati sulla base delle approvazioni in itinere</w:t>
      </w:r>
    </w:p>
    <w:p w14:paraId="76953A8F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59E1690" w14:textId="639C19C3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</w:rPr>
        <w:t>Le entrate tributarie e patrimoniali. Inquadramento</w:t>
      </w:r>
      <w:r w:rsidRPr="00E2405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CD45419" w14:textId="5A613909" w:rsidR="00D43694" w:rsidRPr="00E2405C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 tributi locali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28AB2F5B" w14:textId="5ED5E39C" w:rsidR="00D43694" w:rsidRPr="00E2405C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entrate patrimoniali di diritto pubblico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A447BAB" w14:textId="10795947" w:rsidR="00D43694" w:rsidRPr="00E2405C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sanzioni amministrative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0491F25" w14:textId="3FECEC38" w:rsidR="00D43694" w:rsidRPr="00E2405C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 Servizi a domanda individuale: le mense scolastiche e l’anomalia del trasporto scolastico.</w:t>
      </w:r>
    </w:p>
    <w:p w14:paraId="503CA7FB" w14:textId="5A984D2F" w:rsidR="00D43694" w:rsidRPr="00E2405C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Oneri edilizi e contributo al costo di costruzione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2052458" w14:textId="68E653A7" w:rsidR="00D43694" w:rsidRDefault="00D43694" w:rsidP="00E2405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entrate patrimoniali di diritto privato: gli affitti comunali e il servizio idrico integrato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1E7CF1C1" w14:textId="77777777" w:rsidR="00FC4E0B" w:rsidRDefault="00FC4E0B" w:rsidP="00FC4E0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978EB" w14:textId="789A87D3" w:rsidR="00FC4E0B" w:rsidRDefault="00FC4E0B" w:rsidP="00FC4E0B">
      <w:pPr>
        <w:pStyle w:val="Paragrafoelenco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Pr="00E2405C">
        <w:rPr>
          <w:rFonts w:ascii="Times New Roman" w:hAnsi="Times New Roman" w:cs="Times New Roman"/>
          <w:b/>
          <w:bCs/>
          <w:sz w:val="24"/>
          <w:szCs w:val="24"/>
        </w:rPr>
        <w:t xml:space="preserve">soggetti agenti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per la gestione delle entrate locali </w:t>
      </w:r>
    </w:p>
    <w:p w14:paraId="16D96AB5" w14:textId="77777777" w:rsidR="00FC4E0B" w:rsidRPr="00E2405C" w:rsidRDefault="00FC4E0B" w:rsidP="00FC4E0B">
      <w:pPr>
        <w:pStyle w:val="Paragrafoelenco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F92E1" w14:textId="77777777" w:rsidR="00FC4E0B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 xml:space="preserve">I soggetti agenti nella </w:t>
      </w:r>
      <w:r>
        <w:rPr>
          <w:rFonts w:ascii="Times New Roman" w:hAnsi="Times New Roman" w:cs="Times New Roman"/>
          <w:sz w:val="24"/>
          <w:szCs w:val="24"/>
        </w:rPr>
        <w:t>gestione delle entrate locali</w:t>
      </w:r>
    </w:p>
    <w:p w14:paraId="275C8E6E" w14:textId="77777777" w:rsidR="00FC4E0B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L’avvento di Agenzia delle entrate – Riscossione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6D009883" w14:textId="4E2B7EE1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società pubblica</w:t>
      </w:r>
    </w:p>
    <w:p w14:paraId="24D0D1F4" w14:textId="77777777" w:rsidR="00FC4E0B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L’albo dei concessionari della riscossione e dei servizi di supporto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285855EF" w14:textId="50EDD32E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Modalità di affidamento</w:t>
      </w:r>
    </w:p>
    <w:p w14:paraId="7A1335C2" w14:textId="77777777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Gli strumenti della riscossione coattiva privilegiata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E02558D" w14:textId="77777777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norme significative sulla riscossione coattiva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A98E8A6" w14:textId="77777777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L’obbligo di incasso diretto per tutte le fasi della riscossione delle entrate dell’ente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67220DC1" w14:textId="77777777" w:rsidR="00FC4E0B" w:rsidRPr="00E2405C" w:rsidRDefault="00FC4E0B" w:rsidP="00FC4E0B">
      <w:pPr>
        <w:pStyle w:val="Paragrafoelenco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Accesso ai dati e anagrafe dei conti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7051E0B3" w14:textId="1DE30651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53D5380" w14:textId="550FE449" w:rsidR="00D43694" w:rsidRPr="00E2405C" w:rsidRDefault="001D03FD" w:rsidP="00E2405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</w:rPr>
        <w:t>La notifica degli atti impositivi</w:t>
      </w:r>
    </w:p>
    <w:p w14:paraId="3CB91065" w14:textId="45010F15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notifica degli atti tributari e patrimoniali</w:t>
      </w:r>
    </w:p>
    <w:p w14:paraId="22B6C3B1" w14:textId="2530D6D7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scissione della notifica ai fini del perfezionamento</w:t>
      </w:r>
    </w:p>
    <w:p w14:paraId="587E1E56" w14:textId="5B13E479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 xml:space="preserve">Utilizzo della procedura di notifica atti giudiziari legge 890/82. Invio diretto </w:t>
      </w:r>
    </w:p>
    <w:p w14:paraId="42748255" w14:textId="301FFD6C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notifica mediante posta elettronica certificata (PEC) degli atti tributari</w:t>
      </w:r>
    </w:p>
    <w:p w14:paraId="0AB8BC57" w14:textId="4CCF3DD6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notifica delle ingiunzioni e degli altri atti via PEC</w:t>
      </w:r>
    </w:p>
    <w:p w14:paraId="597FC315" w14:textId="0D9EF995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 xml:space="preserve">La firma del documento </w:t>
      </w:r>
    </w:p>
    <w:p w14:paraId="156BD81F" w14:textId="60934A87" w:rsidR="00D43694" w:rsidRPr="00E2405C" w:rsidRDefault="00D43694" w:rsidP="00E2405C">
      <w:pPr>
        <w:pStyle w:val="Paragrafoelenco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attestazioni di conformità del documento</w:t>
      </w:r>
    </w:p>
    <w:p w14:paraId="654EC86B" w14:textId="77777777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90E2B2" w14:textId="5B314DEE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D878552" w14:textId="77777777" w:rsidR="0010326C" w:rsidRDefault="0010326C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BA8F5B6" w14:textId="77777777" w:rsidR="00FC4E0B" w:rsidRDefault="00FC4E0B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0C4FC2F" w14:textId="77777777" w:rsidR="00FC4E0B" w:rsidRDefault="00FC4E0B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7F0CDF3" w14:textId="77777777" w:rsidR="00FC4E0B" w:rsidRPr="00E2405C" w:rsidRDefault="00FC4E0B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77E4" w14:textId="77777777" w:rsidR="00E2405C" w:rsidRPr="00E2405C" w:rsidRDefault="00E2405C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11F2812" w14:textId="65B57686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Modulo 2= 4 ore</w:t>
      </w:r>
    </w:p>
    <w:p w14:paraId="0AD03D0F" w14:textId="763A4046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07D0CC" w14:textId="77F3CF6F" w:rsidR="00D43694" w:rsidRP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56762">
        <w:rPr>
          <w:rFonts w:ascii="Times New Roman" w:hAnsi="Times New Roman" w:cs="Times New Roman"/>
          <w:b/>
          <w:bCs/>
          <w:sz w:val="24"/>
          <w:szCs w:val="24"/>
        </w:rPr>
        <w:t>L’ACCERTAMENTO ESECUTIVO DELLA LEGGE 160/2019</w:t>
      </w:r>
    </w:p>
    <w:p w14:paraId="1FF1EDE8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7EA190" w14:textId="07E83A29" w:rsidR="00186BF3" w:rsidRPr="00186BF3" w:rsidRDefault="00186BF3" w:rsidP="00186BF3">
      <w:p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86BF3">
        <w:rPr>
          <w:rFonts w:ascii="Times New Roman" w:hAnsi="Times New Roman" w:cs="Times New Roman"/>
          <w:i/>
          <w:iCs/>
          <w:sz w:val="24"/>
          <w:szCs w:val="24"/>
        </w:rPr>
        <w:t>Alcuni punti potranno essere rimodulati sulla base delle nuove procedure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accertative</w:t>
      </w:r>
      <w:r w:rsidRPr="00186BF3">
        <w:rPr>
          <w:rFonts w:ascii="Times New Roman" w:hAnsi="Times New Roman" w:cs="Times New Roman"/>
          <w:i/>
          <w:iCs/>
          <w:sz w:val="24"/>
          <w:szCs w:val="24"/>
        </w:rPr>
        <w:t xml:space="preserve"> derivanti dalla delega fiscale</w:t>
      </w:r>
    </w:p>
    <w:p w14:paraId="102B5888" w14:textId="77777777" w:rsidR="00B56762" w:rsidRPr="00E2405C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BADD51" w14:textId="3E690D8A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</w:rPr>
        <w:t>L’Accertamento esecutivo dei tributi locali</w:t>
      </w:r>
      <w:r w:rsidRPr="00E2405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4C8A94D" w14:textId="77777777" w:rsidR="00FC4E0B" w:rsidRDefault="00FC4E0B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Dalla riscossione ordinaria alla fase accertativa</w:t>
      </w:r>
    </w:p>
    <w:p w14:paraId="7CC95B64" w14:textId="6ED4D96C" w:rsidR="00D43694" w:rsidRPr="00E2405C" w:rsidRDefault="00FC4E0B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L’avviso di accertamento esecutivo</w:t>
      </w:r>
      <w:r w:rsidR="00D43694" w:rsidRPr="00E2405C">
        <w:rPr>
          <w:rFonts w:ascii="Times New Roman" w:hAnsi="Times New Roman" w:cs="Times New Roman"/>
          <w:sz w:val="24"/>
          <w:szCs w:val="24"/>
        </w:rPr>
        <w:tab/>
      </w:r>
    </w:p>
    <w:p w14:paraId="53C40BE7" w14:textId="2A72F13C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Contenuto dell’avviso di accertamento tributario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2309916F" w14:textId="1361563B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L’esecutività degli accertamenti tributari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3B03BFD0" w14:textId="77777777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Gli interessi di mora e i compensi di riscossione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E9157A4" w14:textId="1DC90E75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Informazioni e responsabile del procedimento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6866695F" w14:textId="3664A817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L’autotutela tributaria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3BE5580D" w14:textId="3E00DCA4" w:rsidR="00D43694" w:rsidRPr="00E2405C" w:rsidRDefault="00D43694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Il funzionario responsabile del tributo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686FABD5" w14:textId="5FEDD5B1" w:rsidR="00D43694" w:rsidRDefault="00FC4E0B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L’irrogazione della sanzione</w:t>
      </w:r>
    </w:p>
    <w:p w14:paraId="26D92E82" w14:textId="4F46AB43" w:rsidR="00FC4E0B" w:rsidRPr="00E2405C" w:rsidRDefault="00FC4E0B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cumulo giuridico</w:t>
      </w:r>
    </w:p>
    <w:p w14:paraId="64828756" w14:textId="0B77BE7F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</w:rPr>
        <w:t>L’accertamento esecutivo per le entrate patrimoniali</w:t>
      </w:r>
      <w:r w:rsidRPr="00E2405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E8ED4AA" w14:textId="14A0E5FE" w:rsidR="00D43694" w:rsidRPr="00E2405C" w:rsidRDefault="00D43694" w:rsidP="00E2405C">
      <w:pPr>
        <w:pStyle w:val="Paragrafoelenco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Modalità, tempi e contenuti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8818993" w14:textId="68DD582D" w:rsidR="00D43694" w:rsidRPr="00E2405C" w:rsidRDefault="00D43694" w:rsidP="00E2405C">
      <w:pPr>
        <w:pStyle w:val="Paragrafoelenco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L’esecutività degli accertamenti patrimoniali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2C87A425" w14:textId="461546F9" w:rsidR="00D43694" w:rsidRPr="00E2405C" w:rsidRDefault="00D43694" w:rsidP="00E2405C">
      <w:pPr>
        <w:pStyle w:val="Paragrafoelenco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Interessi moratori, oneri e spese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6AB0EDD0" w14:textId="367048A2" w:rsidR="00D43694" w:rsidRPr="00E2405C" w:rsidRDefault="00D43694" w:rsidP="00E2405C">
      <w:pPr>
        <w:pStyle w:val="Paragrafoelenco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L’autotutela amministrativa.</w:t>
      </w:r>
    </w:p>
    <w:p w14:paraId="0C9F3729" w14:textId="231256CF" w:rsidR="001D03FD" w:rsidRPr="00E2405C" w:rsidRDefault="001D03FD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Disciplina comune</w:t>
      </w:r>
      <w:r w:rsidR="0010326C" w:rsidRPr="00E2405C">
        <w:rPr>
          <w:rFonts w:ascii="Times New Roman" w:hAnsi="Times New Roman" w:cs="Times New Roman"/>
          <w:sz w:val="24"/>
          <w:szCs w:val="24"/>
        </w:rPr>
        <w:t>:</w:t>
      </w:r>
    </w:p>
    <w:p w14:paraId="27C99395" w14:textId="77777777" w:rsidR="001D03FD" w:rsidRPr="00E2405C" w:rsidRDefault="001D03FD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firma del funzionario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0CEB8EE7" w14:textId="77777777" w:rsidR="001D03FD" w:rsidRPr="00E2405C" w:rsidRDefault="001D03FD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Regole per l’arrotondamento.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43D5DBC8" w14:textId="77777777" w:rsidR="001D03FD" w:rsidRPr="00E2405C" w:rsidRDefault="001D03FD" w:rsidP="00E2405C">
      <w:pPr>
        <w:pStyle w:val="Paragrafoelenco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Importi minimi di versamento</w:t>
      </w:r>
    </w:p>
    <w:p w14:paraId="1A2555EA" w14:textId="255DA3D6" w:rsidR="00D43694" w:rsidRPr="00E2405C" w:rsidRDefault="00D43694" w:rsidP="00E2405C">
      <w:pPr>
        <w:spacing w:line="240" w:lineRule="auto"/>
        <w:ind w:left="708"/>
        <w:contextualSpacing/>
        <w:rPr>
          <w:rFonts w:ascii="Times New Roman" w:hAnsi="Times New Roman" w:cs="Times New Roman"/>
          <w:sz w:val="24"/>
          <w:szCs w:val="24"/>
        </w:rPr>
      </w:pPr>
    </w:p>
    <w:p w14:paraId="14631A91" w14:textId="6DF637BE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</w:rPr>
        <w:t xml:space="preserve">L’affidamenti in carico </w:t>
      </w:r>
    </w:p>
    <w:p w14:paraId="20A0449E" w14:textId="388C32B6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Efficacia esecutiva, sospensione e affidamento in carico degli accertamenti tributari e patrimoniali</w:t>
      </w:r>
    </w:p>
    <w:p w14:paraId="3F752522" w14:textId="281340C6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Riscossione straordinaria (lettera d)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0C1E6AFD" w14:textId="17D2BC6C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 xml:space="preserve">Riscossione coattiva. Le regole uniche previste </w:t>
      </w:r>
      <w:r w:rsidR="001D03FD" w:rsidRPr="00E2405C">
        <w:rPr>
          <w:rFonts w:ascii="Times New Roman" w:hAnsi="Times New Roman" w:cs="Times New Roman"/>
          <w:sz w:val="24"/>
          <w:szCs w:val="24"/>
        </w:rPr>
        <w:t>dalla norma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05FB1307" w14:textId="73B46C3E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riattivazione della forza precettiva.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0C159FFB" w14:textId="06C6C696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Limiti di importo ai fini dell’esecutività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34A708A5" w14:textId="0C467A19" w:rsidR="00D43694" w:rsidRPr="00E2405C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Il sollecito fino a dieci mila euro</w:t>
      </w:r>
      <w:r w:rsidRPr="00E2405C">
        <w:rPr>
          <w:rFonts w:ascii="Times New Roman" w:hAnsi="Times New Roman" w:cs="Times New Roman"/>
          <w:sz w:val="24"/>
          <w:szCs w:val="24"/>
        </w:rPr>
        <w:tab/>
      </w:r>
    </w:p>
    <w:p w14:paraId="07037F15" w14:textId="1607077C" w:rsidR="00D43694" w:rsidRDefault="00D43694" w:rsidP="00E2405C">
      <w:pPr>
        <w:pStyle w:val="Paragrafoelenco"/>
        <w:numPr>
          <w:ilvl w:val="0"/>
          <w:numId w:val="16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criticità emerse sul sollecito di pagamento. A chi compete</w:t>
      </w:r>
    </w:p>
    <w:p w14:paraId="5C24C9CF" w14:textId="77777777" w:rsidR="00D43694" w:rsidRDefault="00D43694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6F19BD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CE22DC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E3BA2D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BE189F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51544B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AA2B42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ABAD0E5" w14:textId="77777777" w:rsidR="00B56762" w:rsidRDefault="00B56762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FED243" w14:textId="119909A3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135BCD" w14:textId="77777777" w:rsidR="0010326C" w:rsidRPr="00E2405C" w:rsidRDefault="0010326C" w:rsidP="00E2405C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28C217" w14:textId="377AA349" w:rsidR="00D43694" w:rsidRPr="00E2405C" w:rsidRDefault="00D43694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Modulo 3= 4 ore</w:t>
      </w:r>
    </w:p>
    <w:p w14:paraId="661C7BA4" w14:textId="071AF133" w:rsidR="00D43694" w:rsidRPr="00E2405C" w:rsidRDefault="00D43694" w:rsidP="00E2405C">
      <w:pPr>
        <w:pStyle w:val="NormaleWeb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L’IMU</w:t>
      </w:r>
      <w:r w:rsidR="0030797E" w:rsidRPr="00E2405C">
        <w:rPr>
          <w:b/>
          <w:bCs/>
          <w:color w:val="000000"/>
        </w:rPr>
        <w:t xml:space="preserve"> </w:t>
      </w:r>
    </w:p>
    <w:p w14:paraId="138EC8D3" w14:textId="54711A6C" w:rsidR="0030797E" w:rsidRPr="00E2405C" w:rsidRDefault="0030797E" w:rsidP="00E2405C">
      <w:pPr>
        <w:pStyle w:val="NormaleWeb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Caratteristiche principali del tributo immobiliare in ottica accertativa</w:t>
      </w:r>
    </w:p>
    <w:p w14:paraId="6DC0228F" w14:textId="3F05187B" w:rsidR="00D43694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>La nuova disciplina IMU</w:t>
      </w:r>
    </w:p>
    <w:p w14:paraId="41449693" w14:textId="7659BAFA" w:rsidR="00186BF3" w:rsidRPr="00E2405C" w:rsidRDefault="00186BF3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>
        <w:rPr>
          <w:color w:val="000000"/>
        </w:rPr>
        <w:t xml:space="preserve">Le aliquote IMU e la vicenda del PROSPETTO </w:t>
      </w:r>
    </w:p>
    <w:p w14:paraId="7EFABBEF" w14:textId="311BE0C3" w:rsidR="00D43694" w:rsidRPr="00E2405C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>La soggettività passiva: diritti reali e coniuge superstite</w:t>
      </w:r>
    </w:p>
    <w:p w14:paraId="0FC41265" w14:textId="77537D70" w:rsidR="00D43694" w:rsidRPr="00E2405C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>Il fabbricato e la pertinenza</w:t>
      </w:r>
    </w:p>
    <w:p w14:paraId="70026B41" w14:textId="590024DA" w:rsidR="00D43694" w:rsidRPr="00E2405C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 xml:space="preserve">L’efficacia della rendita: valenza del </w:t>
      </w:r>
      <w:r w:rsidR="0030797E" w:rsidRPr="00E2405C">
        <w:rPr>
          <w:color w:val="000000"/>
        </w:rPr>
        <w:t>DOCFA</w:t>
      </w:r>
    </w:p>
    <w:p w14:paraId="27D99028" w14:textId="0F187C38" w:rsidR="00D43694" w:rsidRPr="00E2405C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>Le aree edificabili e il valore venale</w:t>
      </w:r>
    </w:p>
    <w:p w14:paraId="607C059A" w14:textId="03DB42E7" w:rsidR="00D43694" w:rsidRPr="00E2405C" w:rsidRDefault="00D43694" w:rsidP="00E2405C">
      <w:pPr>
        <w:pStyle w:val="NormaleWeb"/>
        <w:numPr>
          <w:ilvl w:val="0"/>
          <w:numId w:val="13"/>
        </w:numPr>
        <w:contextualSpacing/>
        <w:rPr>
          <w:color w:val="000000"/>
        </w:rPr>
      </w:pPr>
      <w:r w:rsidRPr="00E2405C">
        <w:rPr>
          <w:color w:val="000000"/>
        </w:rPr>
        <w:t>I terreni agricoli e le società agricole: requisiti per l’esenzione e soggetti esclusi</w:t>
      </w:r>
    </w:p>
    <w:p w14:paraId="7A738AE3" w14:textId="77777777" w:rsidR="00B56762" w:rsidRDefault="00B56762" w:rsidP="00E2405C">
      <w:pPr>
        <w:pStyle w:val="NormaleWeb"/>
        <w:contextualSpacing/>
        <w:rPr>
          <w:color w:val="000000"/>
        </w:rPr>
      </w:pPr>
    </w:p>
    <w:p w14:paraId="3622203A" w14:textId="5F69D740" w:rsidR="0030797E" w:rsidRPr="00E2405C" w:rsidRDefault="0030797E" w:rsidP="00E2405C">
      <w:pPr>
        <w:pStyle w:val="NormaleWeb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Le verifiche per le seguenti fattispecie</w:t>
      </w:r>
    </w:p>
    <w:p w14:paraId="30B69EF1" w14:textId="77777777" w:rsidR="0010326C" w:rsidRPr="00E2405C" w:rsidRDefault="0010326C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L’Abitazione principale: accertamento e rimborsi dopo la sentenza della Corte costituzionale</w:t>
      </w:r>
    </w:p>
    <w:p w14:paraId="74C12508" w14:textId="7A802C50" w:rsidR="0010326C" w:rsidRPr="00E2405C" w:rsidRDefault="0010326C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Casi di assimilazione: genitore affidatario, alloggi sociali, forze armate</w:t>
      </w:r>
    </w:p>
    <w:p w14:paraId="5B5F7532" w14:textId="49F5C631" w:rsidR="00D43694" w:rsidRPr="00E2405C" w:rsidRDefault="00D43694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Casi di riduzione: inagibile, storico e comodati ai parenti</w:t>
      </w:r>
    </w:p>
    <w:p w14:paraId="781FDF5E" w14:textId="6832E1B8" w:rsidR="00D43694" w:rsidRPr="00E2405C" w:rsidRDefault="00D43694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I canoni concordati</w:t>
      </w:r>
    </w:p>
    <w:p w14:paraId="79C9220A" w14:textId="5F21B05B" w:rsidR="00D43694" w:rsidRPr="00E2405C" w:rsidRDefault="00D43694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I fabbricati merce</w:t>
      </w:r>
    </w:p>
    <w:p w14:paraId="5CBCE7D5" w14:textId="77777777" w:rsidR="00B56762" w:rsidRPr="00E2405C" w:rsidRDefault="00B56762" w:rsidP="00B56762">
      <w:pPr>
        <w:pStyle w:val="NormaleWeb"/>
        <w:ind w:left="720"/>
        <w:contextualSpacing/>
        <w:rPr>
          <w:color w:val="000000"/>
        </w:rPr>
      </w:pPr>
    </w:p>
    <w:p w14:paraId="48FCE067" w14:textId="0BFA705E" w:rsidR="0030797E" w:rsidRPr="00E2405C" w:rsidRDefault="00E2405C" w:rsidP="00E2405C">
      <w:pPr>
        <w:pStyle w:val="NormaleWeb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O</w:t>
      </w:r>
      <w:r w:rsidR="0030797E" w:rsidRPr="00E2405C">
        <w:rPr>
          <w:b/>
          <w:bCs/>
          <w:color w:val="000000"/>
        </w:rPr>
        <w:t>bbligo dichiarativo</w:t>
      </w:r>
      <w:r w:rsidRPr="00E2405C">
        <w:rPr>
          <w:b/>
          <w:bCs/>
          <w:color w:val="000000"/>
        </w:rPr>
        <w:t xml:space="preserve"> e sanzioni</w:t>
      </w:r>
    </w:p>
    <w:p w14:paraId="0F6A9EA3" w14:textId="77777777" w:rsidR="00E2405C" w:rsidRPr="00E2405C" w:rsidRDefault="00E2405C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 xml:space="preserve">L’obbligo dichiarativo </w:t>
      </w:r>
    </w:p>
    <w:p w14:paraId="60A67799" w14:textId="75F692CC" w:rsidR="00E2405C" w:rsidRPr="00E2405C" w:rsidRDefault="00E2405C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Le sanzioni nell’IMU</w:t>
      </w:r>
    </w:p>
    <w:p w14:paraId="56A59B97" w14:textId="5616AC8C" w:rsidR="0030797E" w:rsidRPr="00E2405C" w:rsidRDefault="00E2405C" w:rsidP="00E2405C">
      <w:pPr>
        <w:pStyle w:val="NormaleWeb"/>
        <w:numPr>
          <w:ilvl w:val="0"/>
          <w:numId w:val="14"/>
        </w:numPr>
        <w:contextualSpacing/>
        <w:rPr>
          <w:color w:val="000000"/>
        </w:rPr>
      </w:pPr>
      <w:r w:rsidRPr="00E2405C">
        <w:rPr>
          <w:color w:val="000000"/>
        </w:rPr>
        <w:t>L’accertamento con adesione</w:t>
      </w:r>
      <w:r w:rsidR="0030797E" w:rsidRPr="00E2405C">
        <w:rPr>
          <w:color w:val="000000"/>
        </w:rPr>
        <w:t xml:space="preserve"> </w:t>
      </w:r>
    </w:p>
    <w:p w14:paraId="09651E8A" w14:textId="5AE2AB46" w:rsidR="0030797E" w:rsidRDefault="0030797E" w:rsidP="00E2405C">
      <w:pPr>
        <w:pStyle w:val="NormaleWeb"/>
        <w:contextualSpacing/>
        <w:rPr>
          <w:color w:val="000000"/>
        </w:rPr>
      </w:pPr>
    </w:p>
    <w:p w14:paraId="44D17E36" w14:textId="59C398F0" w:rsidR="001859FB" w:rsidRPr="00E2405C" w:rsidRDefault="001859FB" w:rsidP="00E2405C">
      <w:pPr>
        <w:pStyle w:val="NormaleWeb"/>
        <w:contextualSpacing/>
        <w:rPr>
          <w:b/>
          <w:bCs/>
          <w:color w:val="000000"/>
        </w:rPr>
      </w:pPr>
    </w:p>
    <w:p w14:paraId="6722A870" w14:textId="485ED2F7" w:rsidR="001859FB" w:rsidRPr="00E2405C" w:rsidRDefault="001859FB" w:rsidP="00E2405C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Modulo 4= 4 ore</w:t>
      </w:r>
    </w:p>
    <w:p w14:paraId="15D4400F" w14:textId="77777777" w:rsidR="00E2405C" w:rsidRPr="00E2405C" w:rsidRDefault="00E2405C" w:rsidP="00E2405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2405C">
        <w:rPr>
          <w:rFonts w:ascii="Times New Roman" w:hAnsi="Times New Roman" w:cs="Times New Roman"/>
          <w:b/>
          <w:sz w:val="24"/>
          <w:szCs w:val="24"/>
        </w:rPr>
        <w:t>LA TARI NELLA FASE ACCERTATIVA</w:t>
      </w:r>
    </w:p>
    <w:p w14:paraId="1FD939C0" w14:textId="77777777" w:rsidR="00E2405C" w:rsidRPr="00E2405C" w:rsidRDefault="00E2405C" w:rsidP="00E2405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B89368A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TARI origine ed evoluzione</w:t>
      </w:r>
    </w:p>
    <w:p w14:paraId="09FE4A64" w14:textId="7AC5D886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suscettibilità alla produzione di rifiuti</w:t>
      </w:r>
    </w:p>
    <w:p w14:paraId="7B789459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 soggetti passivi</w:t>
      </w:r>
    </w:p>
    <w:p w14:paraId="5BE0191C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nuova definizione di rifiuto urbano e rifiuto speciale: il decreto sull’economia circolare</w:t>
      </w:r>
    </w:p>
    <w:p w14:paraId="3F302DE6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 xml:space="preserve">Gli abbattimenti di superficie </w:t>
      </w:r>
    </w:p>
    <w:p w14:paraId="365DAB85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agevolazioni dei comuni</w:t>
      </w:r>
    </w:p>
    <w:p w14:paraId="4289D46C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le riduzioni tecniche</w:t>
      </w:r>
    </w:p>
    <w:p w14:paraId="3CA71B89" w14:textId="131075CF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La quota variabile in caso di uscita dal servizio pubblico</w:t>
      </w:r>
    </w:p>
    <w:p w14:paraId="71D82A9D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L’avvio al riciclo/recupero del comma 649 dell’articolo 1 della Legge 147/2013</w:t>
      </w:r>
    </w:p>
    <w:p w14:paraId="2ED8CC42" w14:textId="649E5FEF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il sistema tariffario</w:t>
      </w:r>
    </w:p>
    <w:p w14:paraId="4E20BE2B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TQ RIF ARERA: la dichiarazione e la riscossione dopo il testo unico della qualità ARERA</w:t>
      </w:r>
    </w:p>
    <w:p w14:paraId="592C4851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L’ACCERTAMENTO TARI UTENZE DOMESTICHE</w:t>
      </w:r>
    </w:p>
    <w:p w14:paraId="12DF3D52" w14:textId="77777777" w:rsidR="00E2405C" w:rsidRPr="00E2405C" w:rsidRDefault="00E2405C" w:rsidP="00E2405C">
      <w:pPr>
        <w:pStyle w:val="Paragrafoelenco"/>
        <w:numPr>
          <w:ilvl w:val="0"/>
          <w:numId w:val="19"/>
        </w:numPr>
        <w:spacing w:after="0" w:line="240" w:lineRule="auto"/>
        <w:ind w:left="510"/>
        <w:rPr>
          <w:rFonts w:ascii="Times New Roman" w:hAnsi="Times New Roman" w:cs="Times New Roman"/>
          <w:sz w:val="24"/>
          <w:szCs w:val="24"/>
        </w:rPr>
      </w:pPr>
      <w:r w:rsidRPr="00E2405C">
        <w:rPr>
          <w:rFonts w:ascii="Times New Roman" w:hAnsi="Times New Roman" w:cs="Times New Roman"/>
          <w:sz w:val="24"/>
          <w:szCs w:val="24"/>
        </w:rPr>
        <w:t>L’ACCERTAMENTO TARI UTENZE NON DOMESTICHE</w:t>
      </w:r>
    </w:p>
    <w:p w14:paraId="55837285" w14:textId="7269A3F3" w:rsidR="00E2405C" w:rsidRPr="00E2405C" w:rsidRDefault="00E2405C" w:rsidP="00E2405C">
      <w:pPr>
        <w:pStyle w:val="NormaleWeb"/>
        <w:numPr>
          <w:ilvl w:val="0"/>
          <w:numId w:val="19"/>
        </w:numPr>
        <w:ind w:left="426" w:hanging="284"/>
        <w:contextualSpacing/>
        <w:rPr>
          <w:color w:val="000000"/>
        </w:rPr>
      </w:pPr>
      <w:r w:rsidRPr="00E2405C">
        <w:rPr>
          <w:color w:val="000000"/>
        </w:rPr>
        <w:t>Le sanzioni nella TARI</w:t>
      </w:r>
    </w:p>
    <w:p w14:paraId="138DDD3D" w14:textId="77777777" w:rsidR="00E2405C" w:rsidRPr="00E2405C" w:rsidRDefault="00E2405C" w:rsidP="00E2405C">
      <w:pPr>
        <w:pStyle w:val="NormaleWeb"/>
        <w:numPr>
          <w:ilvl w:val="0"/>
          <w:numId w:val="19"/>
        </w:numPr>
        <w:ind w:left="426" w:hanging="284"/>
        <w:contextualSpacing/>
        <w:rPr>
          <w:color w:val="000000"/>
        </w:rPr>
      </w:pPr>
      <w:r w:rsidRPr="00E2405C">
        <w:rPr>
          <w:color w:val="000000"/>
        </w:rPr>
        <w:t xml:space="preserve">L’accertamento con adesione </w:t>
      </w:r>
    </w:p>
    <w:p w14:paraId="5F5AC86A" w14:textId="5669C498" w:rsidR="001B709A" w:rsidRDefault="001B709A" w:rsidP="001B709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Modulo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= 4 ore</w:t>
      </w:r>
    </w:p>
    <w:p w14:paraId="6EC76E09" w14:textId="77777777" w:rsidR="001B709A" w:rsidRDefault="001B709A" w:rsidP="001B709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3C15C9F" w14:textId="7C0AEE10" w:rsidR="00366E04" w:rsidRDefault="001B709A" w:rsidP="001B709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CONFRONTO CON I DOCENTI </w:t>
      </w:r>
    </w:p>
    <w:p w14:paraId="428A0663" w14:textId="77777777" w:rsidR="00366E04" w:rsidRDefault="00366E04" w:rsidP="001B709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F60695A" w14:textId="77777777" w:rsidR="008C1C24" w:rsidRDefault="00366E04" w:rsidP="008C1C2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Momento interamente dedicato al confronto con i docenti sulle tematiche trattate durante il corso</w:t>
      </w:r>
    </w:p>
    <w:p w14:paraId="54AAFD22" w14:textId="77777777" w:rsidR="008C1C24" w:rsidRDefault="008C1C24" w:rsidP="008C1C2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209C4" w14:textId="3C6E9F6E" w:rsidR="008C1C24" w:rsidRPr="00E2405C" w:rsidRDefault="008C1C24" w:rsidP="008C1C24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Modulo </w:t>
      </w:r>
      <w:r w:rsidR="0045698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X</w:t>
      </w: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ore</w:t>
      </w:r>
    </w:p>
    <w:p w14:paraId="5DDD9E63" w14:textId="77777777" w:rsidR="008C1C24" w:rsidRDefault="008C1C24" w:rsidP="008C1C2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IL CUP PER LE DIFFUSIONI PUBBLICITARIE</w:t>
      </w:r>
    </w:p>
    <w:p w14:paraId="0F530010" w14:textId="0CC2AD9F" w:rsidR="008C1C24" w:rsidRDefault="008C1C24" w:rsidP="008C1C24">
      <w:pPr>
        <w:spacing w:after="0" w:line="240" w:lineRule="auto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Caratteristiche principali del</w:t>
      </w:r>
      <w:r>
        <w:rPr>
          <w:b/>
          <w:bCs/>
          <w:color w:val="000000"/>
        </w:rPr>
        <w:t xml:space="preserve">la componente pubblicitaria del canone </w:t>
      </w:r>
      <w:r w:rsidRPr="00E2405C">
        <w:rPr>
          <w:b/>
          <w:bCs/>
          <w:color w:val="000000"/>
        </w:rPr>
        <w:t>in ottica accertativa</w:t>
      </w:r>
    </w:p>
    <w:p w14:paraId="332BEA86" w14:textId="77777777" w:rsidR="008C1C24" w:rsidRDefault="008C1C24" w:rsidP="008C1C24">
      <w:pPr>
        <w:spacing w:after="0" w:line="240" w:lineRule="auto"/>
        <w:contextualSpacing/>
        <w:rPr>
          <w:b/>
          <w:bCs/>
          <w:color w:val="000000"/>
        </w:rPr>
      </w:pPr>
    </w:p>
    <w:p w14:paraId="59E43BFE" w14:textId="77777777" w:rsidR="00F13B73" w:rsidRDefault="00D91B4D" w:rsidP="008C1C24">
      <w:pPr>
        <w:spacing w:after="0" w:line="240" w:lineRule="auto"/>
        <w:contextualSpacing/>
        <w:rPr>
          <w:i/>
          <w:iCs/>
          <w:color w:val="000000"/>
        </w:rPr>
      </w:pPr>
      <w:r w:rsidRPr="00F13B73">
        <w:rPr>
          <w:i/>
          <w:iCs/>
          <w:color w:val="000000"/>
        </w:rPr>
        <w:t xml:space="preserve">Le novità </w:t>
      </w:r>
      <w:r w:rsidR="00F13B73" w:rsidRPr="00F13B73">
        <w:rPr>
          <w:i/>
          <w:iCs/>
          <w:color w:val="000000"/>
        </w:rPr>
        <w:t>sulla disciplina del canone previste con i decreti attuativi della Delega Fiscale</w:t>
      </w:r>
    </w:p>
    <w:p w14:paraId="3ED4D664" w14:textId="77777777" w:rsidR="00F13B73" w:rsidRPr="00F13B73" w:rsidRDefault="00F13B73" w:rsidP="008C1C24">
      <w:pPr>
        <w:spacing w:after="0" w:line="240" w:lineRule="auto"/>
        <w:contextualSpacing/>
        <w:rPr>
          <w:i/>
          <w:iCs/>
          <w:color w:val="000000"/>
        </w:rPr>
      </w:pPr>
    </w:p>
    <w:p w14:paraId="09AAA45A" w14:textId="23DE531F" w:rsidR="008C1C24" w:rsidRPr="008C1C24" w:rsidRDefault="008C1C24" w:rsidP="008C1C24">
      <w:pPr>
        <w:spacing w:after="0" w:line="240" w:lineRule="auto"/>
        <w:contextualSpacing/>
        <w:rPr>
          <w:color w:val="000000"/>
        </w:rPr>
      </w:pPr>
      <w:r w:rsidRPr="008C1C24">
        <w:rPr>
          <w:color w:val="000000"/>
        </w:rPr>
        <w:t>Aspetti da considerare nella definizione di presupposto</w:t>
      </w:r>
    </w:p>
    <w:p w14:paraId="23311C6B" w14:textId="08CDBFE1" w:rsidR="008C1C24" w:rsidRDefault="008C1C24" w:rsidP="008C1C24">
      <w:pPr>
        <w:spacing w:after="0" w:line="240" w:lineRule="auto"/>
        <w:contextualSpacing/>
        <w:rPr>
          <w:color w:val="000000"/>
        </w:rPr>
      </w:pPr>
      <w:r w:rsidRPr="008C1C24">
        <w:rPr>
          <w:color w:val="000000"/>
        </w:rPr>
        <w:t>Soggettività attiva</w:t>
      </w:r>
    </w:p>
    <w:p w14:paraId="4FC723D9" w14:textId="77777777" w:rsidR="00A26F57" w:rsidRPr="00A26F57" w:rsidRDefault="00A26F57" w:rsidP="00A26F57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>Soggettività passiva e titolo amministrativo: cosa è cambiato con l’avvento del canone</w:t>
      </w:r>
    </w:p>
    <w:p w14:paraId="766BE0B3" w14:textId="77777777" w:rsidR="00D91B4D" w:rsidRPr="00A26F57" w:rsidRDefault="00D91B4D" w:rsidP="00D91B4D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La corretta gestione della banca dati. Le implementazioni necessarie</w:t>
      </w:r>
    </w:p>
    <w:p w14:paraId="6BF36008" w14:textId="77777777" w:rsidR="00D91B4D" w:rsidRDefault="00A26F57" w:rsidP="008C1C24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 xml:space="preserve">Criteri di </w:t>
      </w:r>
      <w:r>
        <w:rPr>
          <w:color w:val="000000"/>
        </w:rPr>
        <w:t>misurazione e definizione tariffaria</w:t>
      </w:r>
      <w:r w:rsidR="00D91B4D">
        <w:rPr>
          <w:color w:val="000000"/>
        </w:rPr>
        <w:t xml:space="preserve"> </w:t>
      </w:r>
    </w:p>
    <w:p w14:paraId="601F36C3" w14:textId="4ABA9681" w:rsidR="008C1C24" w:rsidRDefault="00D91B4D" w:rsidP="008C1C24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 xml:space="preserve">Il corretto uso dei coefficienti e il rispetto della parità di gettito. </w:t>
      </w:r>
      <w:r w:rsidRPr="00A26F57">
        <w:rPr>
          <w:color w:val="000000"/>
        </w:rPr>
        <w:t>sentenze del TAR</w:t>
      </w:r>
    </w:p>
    <w:p w14:paraId="442F953C" w14:textId="77777777" w:rsidR="00A26F57" w:rsidRDefault="00A26F57" w:rsidP="00A26F57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>Le esenzioni e le riduzioni: la potestà dei comuni e i limiti</w:t>
      </w:r>
    </w:p>
    <w:p w14:paraId="40EB7522" w14:textId="2ACE5414" w:rsidR="00A26F57" w:rsidRDefault="00A26F57" w:rsidP="00A26F57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 xml:space="preserve">La disciplina regolamentare </w:t>
      </w:r>
    </w:p>
    <w:p w14:paraId="75B2B53C" w14:textId="77777777" w:rsidR="00A26F57" w:rsidRPr="00A26F57" w:rsidRDefault="00A26F57" w:rsidP="00A26F57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>Il servizio pubbliche affissioni: modifiche ed eliminazione</w:t>
      </w:r>
    </w:p>
    <w:p w14:paraId="65602E3D" w14:textId="104A9C5F" w:rsidR="00A26F57" w:rsidRDefault="00A26F57" w:rsidP="00A26F57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Il Piano Generale degli Impianti Pubblicitari</w:t>
      </w:r>
    </w:p>
    <w:p w14:paraId="37BD2481" w14:textId="720FBEDE" w:rsidR="00A26F57" w:rsidRDefault="00A26F57" w:rsidP="00A26F57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La figura del Pubblico Ufficiale nell’attività di accertamento del Canone</w:t>
      </w:r>
    </w:p>
    <w:p w14:paraId="5E46A718" w14:textId="74224435" w:rsidR="00456980" w:rsidRDefault="00456980" w:rsidP="00A26F57">
      <w:pPr>
        <w:spacing w:after="0" w:line="240" w:lineRule="auto"/>
        <w:contextualSpacing/>
        <w:rPr>
          <w:color w:val="000000"/>
        </w:rPr>
      </w:pPr>
      <w:r w:rsidRPr="00456980">
        <w:rPr>
          <w:color w:val="000000"/>
        </w:rPr>
        <w:t>Codice della strada e CUP  i punti di contatto di due discipline mai alternative</w:t>
      </w:r>
    </w:p>
    <w:p w14:paraId="46CDB4ED" w14:textId="1BDF5B6D" w:rsidR="00A26F57" w:rsidRDefault="00A26F57" w:rsidP="00A26F57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Indennità e sanzioni</w:t>
      </w:r>
    </w:p>
    <w:p w14:paraId="70B90B7F" w14:textId="366EE127" w:rsidR="00A26F57" w:rsidRPr="00A26F57" w:rsidRDefault="00A26F57" w:rsidP="00A26F57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L’avviso di accertamento ex comma 792 Legge 160/2019</w:t>
      </w:r>
    </w:p>
    <w:p w14:paraId="5782DA5E" w14:textId="77777777" w:rsidR="00A26F57" w:rsidRPr="00A26F57" w:rsidRDefault="00A26F57" w:rsidP="008C1C24">
      <w:pPr>
        <w:spacing w:after="0" w:line="240" w:lineRule="auto"/>
        <w:contextualSpacing/>
        <w:rPr>
          <w:color w:val="000000"/>
        </w:rPr>
      </w:pPr>
    </w:p>
    <w:p w14:paraId="1B14C9CD" w14:textId="0C819B3D" w:rsidR="00456980" w:rsidRPr="00E2405C" w:rsidRDefault="00456980" w:rsidP="00456980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Modulo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X</w:t>
      </w: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=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Pr="00E2405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ore</w:t>
      </w:r>
    </w:p>
    <w:p w14:paraId="078E74C6" w14:textId="6F1E716D" w:rsidR="00456980" w:rsidRDefault="00456980" w:rsidP="00456980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 CUP PER LE </w:t>
      </w:r>
      <w:r>
        <w:rPr>
          <w:rFonts w:ascii="Times New Roman" w:hAnsi="Times New Roman" w:cs="Times New Roman"/>
          <w:b/>
          <w:sz w:val="24"/>
          <w:szCs w:val="24"/>
        </w:rPr>
        <w:t>OCCUPAZIONI DI SUOLO PUBBLICO</w:t>
      </w:r>
    </w:p>
    <w:p w14:paraId="7F22855A" w14:textId="1AEF5813" w:rsidR="00456980" w:rsidRDefault="00456980" w:rsidP="00456980">
      <w:pPr>
        <w:spacing w:after="0" w:line="240" w:lineRule="auto"/>
        <w:contextualSpacing/>
        <w:rPr>
          <w:b/>
          <w:bCs/>
          <w:color w:val="000000"/>
        </w:rPr>
      </w:pPr>
      <w:r w:rsidRPr="00E2405C">
        <w:rPr>
          <w:b/>
          <w:bCs/>
          <w:color w:val="000000"/>
        </w:rPr>
        <w:t>Caratteristiche principali del</w:t>
      </w:r>
      <w:r>
        <w:rPr>
          <w:b/>
          <w:bCs/>
          <w:color w:val="000000"/>
        </w:rPr>
        <w:t xml:space="preserve">la componente </w:t>
      </w:r>
      <w:r>
        <w:rPr>
          <w:b/>
          <w:bCs/>
          <w:color w:val="000000"/>
        </w:rPr>
        <w:t xml:space="preserve">di occupazione del suolo </w:t>
      </w:r>
      <w:r w:rsidRPr="00E2405C">
        <w:rPr>
          <w:b/>
          <w:bCs/>
          <w:color w:val="000000"/>
        </w:rPr>
        <w:t>in ottica accertativa</w:t>
      </w:r>
    </w:p>
    <w:p w14:paraId="6A62BB17" w14:textId="77777777" w:rsidR="00456980" w:rsidRDefault="00456980" w:rsidP="00456980">
      <w:pPr>
        <w:spacing w:after="0" w:line="240" w:lineRule="auto"/>
        <w:contextualSpacing/>
        <w:rPr>
          <w:b/>
          <w:bCs/>
          <w:color w:val="000000"/>
        </w:rPr>
      </w:pPr>
    </w:p>
    <w:p w14:paraId="274765F0" w14:textId="77777777" w:rsidR="00F13B73" w:rsidRDefault="00F13B73" w:rsidP="00F13B73">
      <w:pPr>
        <w:spacing w:after="0" w:line="240" w:lineRule="auto"/>
        <w:contextualSpacing/>
        <w:rPr>
          <w:i/>
          <w:iCs/>
          <w:color w:val="000000"/>
        </w:rPr>
      </w:pPr>
      <w:r w:rsidRPr="00F13B73">
        <w:rPr>
          <w:i/>
          <w:iCs/>
          <w:color w:val="000000"/>
        </w:rPr>
        <w:t>Le novità sulla disciplina del canone previste con i decreti attuativi della Delega Fiscale</w:t>
      </w:r>
    </w:p>
    <w:p w14:paraId="46863FB9" w14:textId="77777777" w:rsidR="00F13B73" w:rsidRDefault="00F13B73" w:rsidP="00456980">
      <w:pPr>
        <w:spacing w:after="0" w:line="240" w:lineRule="auto"/>
        <w:contextualSpacing/>
        <w:rPr>
          <w:b/>
          <w:bCs/>
          <w:color w:val="000000"/>
        </w:rPr>
      </w:pPr>
    </w:p>
    <w:p w14:paraId="68B042AF" w14:textId="77777777" w:rsidR="00456980" w:rsidRPr="008C1C24" w:rsidRDefault="00456980" w:rsidP="00456980">
      <w:pPr>
        <w:spacing w:after="0" w:line="240" w:lineRule="auto"/>
        <w:contextualSpacing/>
        <w:rPr>
          <w:color w:val="000000"/>
        </w:rPr>
      </w:pPr>
      <w:r w:rsidRPr="008C1C24">
        <w:rPr>
          <w:color w:val="000000"/>
        </w:rPr>
        <w:t>Aspetti da considerare nella definizione di presupposto</w:t>
      </w:r>
    </w:p>
    <w:p w14:paraId="4CFB31E7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 w:rsidRPr="008C1C24">
        <w:rPr>
          <w:color w:val="000000"/>
        </w:rPr>
        <w:t>Soggettività attiva</w:t>
      </w:r>
    </w:p>
    <w:p w14:paraId="5BB64E32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>Soggettività passiva e titolo amministrativo: cosa è cambiato con l’avvento del canone</w:t>
      </w:r>
    </w:p>
    <w:p w14:paraId="42681FAA" w14:textId="6DAB7569" w:rsidR="00456980" w:rsidRPr="00A26F57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La corretta gestione della banca dati. Le implementazioni necessarie</w:t>
      </w:r>
    </w:p>
    <w:p w14:paraId="7BE2C7DA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 xml:space="preserve">Criteri di </w:t>
      </w:r>
      <w:r>
        <w:rPr>
          <w:color w:val="000000"/>
        </w:rPr>
        <w:t>misurazione e definizione tariffaria</w:t>
      </w:r>
    </w:p>
    <w:p w14:paraId="52C5E239" w14:textId="2D0B47E5" w:rsidR="00D91B4D" w:rsidRDefault="00D91B4D" w:rsidP="00D91B4D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Il corretto uso dei coefficienti e il rispetto della parità di gettito</w:t>
      </w:r>
      <w:r>
        <w:rPr>
          <w:color w:val="000000"/>
        </w:rPr>
        <w:t xml:space="preserve">. </w:t>
      </w:r>
      <w:r w:rsidRPr="00A26F57">
        <w:rPr>
          <w:color w:val="000000"/>
        </w:rPr>
        <w:t>sentenze del TAR</w:t>
      </w:r>
    </w:p>
    <w:p w14:paraId="69E99D03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 w:rsidRPr="00A26F57">
        <w:rPr>
          <w:color w:val="000000"/>
        </w:rPr>
        <w:t>Le esenzioni e le riduzioni: la potestà dei comuni e i limiti</w:t>
      </w:r>
    </w:p>
    <w:p w14:paraId="42395F72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 xml:space="preserve">La disciplina regolamentare </w:t>
      </w:r>
    </w:p>
    <w:p w14:paraId="20CA42DC" w14:textId="6232FCCC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 xml:space="preserve">Il Piano </w:t>
      </w:r>
      <w:r>
        <w:rPr>
          <w:color w:val="000000"/>
        </w:rPr>
        <w:t>di Massima Occupabilità</w:t>
      </w:r>
    </w:p>
    <w:p w14:paraId="654B7968" w14:textId="07FA5DB0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I</w:t>
      </w:r>
      <w:r w:rsidRPr="00456980">
        <w:rPr>
          <w:color w:val="000000"/>
        </w:rPr>
        <w:t>l Canone per i servizi di rete. La soggettività passiva in via mediata e l'attività di accertamento</w:t>
      </w:r>
    </w:p>
    <w:p w14:paraId="6C0C5598" w14:textId="77777777" w:rsidR="00456980" w:rsidRPr="00456980" w:rsidRDefault="00456980" w:rsidP="00456980">
      <w:pPr>
        <w:spacing w:after="0" w:line="240" w:lineRule="auto"/>
        <w:contextualSpacing/>
        <w:rPr>
          <w:color w:val="000000"/>
        </w:rPr>
      </w:pPr>
      <w:r w:rsidRPr="00456980">
        <w:rPr>
          <w:color w:val="000000"/>
        </w:rPr>
        <w:t>Il canone antenne</w:t>
      </w:r>
    </w:p>
    <w:p w14:paraId="0A73A301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La figura del Pubblico Ufficiale nell’attività di accertamento del Canone</w:t>
      </w:r>
    </w:p>
    <w:p w14:paraId="11410FDE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 w:rsidRPr="00456980">
        <w:rPr>
          <w:color w:val="000000"/>
        </w:rPr>
        <w:t>Codice della strada e CUP  i punti di contatto di due discipline mai alternative</w:t>
      </w:r>
    </w:p>
    <w:p w14:paraId="080A7B76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Indennità e sanzioni</w:t>
      </w:r>
    </w:p>
    <w:p w14:paraId="152F201B" w14:textId="77777777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L’avviso di accertamento ex comma 792 Legge 160/2019</w:t>
      </w:r>
    </w:p>
    <w:p w14:paraId="2EB90DC5" w14:textId="6C3CBAC6" w:rsidR="00456980" w:rsidRDefault="00456980" w:rsidP="00456980">
      <w:pPr>
        <w:spacing w:after="0" w:line="240" w:lineRule="auto"/>
        <w:contextualSpacing/>
        <w:rPr>
          <w:color w:val="000000"/>
        </w:rPr>
      </w:pPr>
      <w:r>
        <w:rPr>
          <w:color w:val="000000"/>
        </w:rPr>
        <w:t>L</w:t>
      </w:r>
      <w:r w:rsidRPr="00456980">
        <w:rPr>
          <w:color w:val="000000"/>
        </w:rPr>
        <w:t>e criticità ancora aperte sul Canone Mercatale</w:t>
      </w:r>
    </w:p>
    <w:p w14:paraId="262BBED4" w14:textId="77777777" w:rsidR="00D91B4D" w:rsidRPr="00A26F57" w:rsidRDefault="00D91B4D" w:rsidP="00456980">
      <w:pPr>
        <w:spacing w:after="0" w:line="240" w:lineRule="auto"/>
        <w:contextualSpacing/>
        <w:rPr>
          <w:color w:val="000000"/>
        </w:rPr>
      </w:pPr>
    </w:p>
    <w:p w14:paraId="4EF74C27" w14:textId="77777777" w:rsidR="008C1C24" w:rsidRPr="00E2405C" w:rsidRDefault="008C1C24" w:rsidP="008C1C2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3402867" w14:textId="77777777" w:rsidR="001B709A" w:rsidRPr="00E2405C" w:rsidRDefault="001B709A" w:rsidP="00E2405C">
      <w:pPr>
        <w:pStyle w:val="NormaleWeb"/>
        <w:contextualSpacing/>
        <w:rPr>
          <w:b/>
          <w:bCs/>
          <w:color w:val="000000"/>
        </w:rPr>
      </w:pPr>
    </w:p>
    <w:sectPr w:rsidR="001B709A" w:rsidRPr="00E240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46CA"/>
    <w:multiLevelType w:val="hybridMultilevel"/>
    <w:tmpl w:val="F4B431DA"/>
    <w:lvl w:ilvl="0" w:tplc="DDC6A100">
      <w:start w:val="8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47191"/>
    <w:multiLevelType w:val="hybridMultilevel"/>
    <w:tmpl w:val="B274B150"/>
    <w:lvl w:ilvl="0" w:tplc="40323B9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05F89"/>
    <w:multiLevelType w:val="hybridMultilevel"/>
    <w:tmpl w:val="84EE006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E83863"/>
    <w:multiLevelType w:val="hybridMultilevel"/>
    <w:tmpl w:val="D16C9C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8733A"/>
    <w:multiLevelType w:val="hybridMultilevel"/>
    <w:tmpl w:val="D64A56CA"/>
    <w:lvl w:ilvl="0" w:tplc="234A1A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47E3C"/>
    <w:multiLevelType w:val="hybridMultilevel"/>
    <w:tmpl w:val="4C0AB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969C0"/>
    <w:multiLevelType w:val="hybridMultilevel"/>
    <w:tmpl w:val="7A9C1B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F7FE1"/>
    <w:multiLevelType w:val="hybridMultilevel"/>
    <w:tmpl w:val="7BCEEB1C"/>
    <w:lvl w:ilvl="0" w:tplc="0410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2E3699"/>
    <w:multiLevelType w:val="hybridMultilevel"/>
    <w:tmpl w:val="DCA42D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8B4E4C"/>
    <w:multiLevelType w:val="hybridMultilevel"/>
    <w:tmpl w:val="F4227868"/>
    <w:lvl w:ilvl="0" w:tplc="DDC6A100">
      <w:start w:val="8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85730"/>
    <w:multiLevelType w:val="hybridMultilevel"/>
    <w:tmpl w:val="9E54AD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EC0896"/>
    <w:multiLevelType w:val="hybridMultilevel"/>
    <w:tmpl w:val="3FA4E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732E7"/>
    <w:multiLevelType w:val="hybridMultilevel"/>
    <w:tmpl w:val="0E56484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17F4C"/>
    <w:multiLevelType w:val="hybridMultilevel"/>
    <w:tmpl w:val="93CEA96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952E3C"/>
    <w:multiLevelType w:val="hybridMultilevel"/>
    <w:tmpl w:val="2D463A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A6274"/>
    <w:multiLevelType w:val="hybridMultilevel"/>
    <w:tmpl w:val="B9F68F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02E92"/>
    <w:multiLevelType w:val="hybridMultilevel"/>
    <w:tmpl w:val="A08EF74E"/>
    <w:lvl w:ilvl="0" w:tplc="DDC6A100">
      <w:start w:val="8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9486A"/>
    <w:multiLevelType w:val="hybridMultilevel"/>
    <w:tmpl w:val="7ECE0A2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0719DC"/>
    <w:multiLevelType w:val="hybridMultilevel"/>
    <w:tmpl w:val="19147EC0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FC2121"/>
    <w:multiLevelType w:val="hybridMultilevel"/>
    <w:tmpl w:val="66C61A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809742">
    <w:abstractNumId w:val="6"/>
  </w:num>
  <w:num w:numId="2" w16cid:durableId="980572933">
    <w:abstractNumId w:val="3"/>
  </w:num>
  <w:num w:numId="3" w16cid:durableId="573197050">
    <w:abstractNumId w:val="1"/>
  </w:num>
  <w:num w:numId="4" w16cid:durableId="96297311">
    <w:abstractNumId w:val="10"/>
  </w:num>
  <w:num w:numId="5" w16cid:durableId="2043435730">
    <w:abstractNumId w:val="18"/>
  </w:num>
  <w:num w:numId="6" w16cid:durableId="785974710">
    <w:abstractNumId w:val="13"/>
  </w:num>
  <w:num w:numId="7" w16cid:durableId="687221559">
    <w:abstractNumId w:val="7"/>
  </w:num>
  <w:num w:numId="8" w16cid:durableId="1502500418">
    <w:abstractNumId w:val="8"/>
  </w:num>
  <w:num w:numId="9" w16cid:durableId="925765500">
    <w:abstractNumId w:val="11"/>
  </w:num>
  <w:num w:numId="10" w16cid:durableId="970130627">
    <w:abstractNumId w:val="9"/>
  </w:num>
  <w:num w:numId="11" w16cid:durableId="521168875">
    <w:abstractNumId w:val="16"/>
  </w:num>
  <w:num w:numId="12" w16cid:durableId="1566405581">
    <w:abstractNumId w:val="0"/>
  </w:num>
  <w:num w:numId="13" w16cid:durableId="260727535">
    <w:abstractNumId w:val="5"/>
  </w:num>
  <w:num w:numId="14" w16cid:durableId="1087769792">
    <w:abstractNumId w:val="15"/>
  </w:num>
  <w:num w:numId="15" w16cid:durableId="1112240359">
    <w:abstractNumId w:val="2"/>
  </w:num>
  <w:num w:numId="16" w16cid:durableId="21245467">
    <w:abstractNumId w:val="19"/>
  </w:num>
  <w:num w:numId="17" w16cid:durableId="1225799284">
    <w:abstractNumId w:val="12"/>
  </w:num>
  <w:num w:numId="18" w16cid:durableId="937104200">
    <w:abstractNumId w:val="17"/>
  </w:num>
  <w:num w:numId="19" w16cid:durableId="805011036">
    <w:abstractNumId w:val="14"/>
  </w:num>
  <w:num w:numId="20" w16cid:durableId="1930698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94"/>
    <w:rsid w:val="000539AB"/>
    <w:rsid w:val="000A6C7A"/>
    <w:rsid w:val="0010326C"/>
    <w:rsid w:val="001859FB"/>
    <w:rsid w:val="00186BF3"/>
    <w:rsid w:val="001B709A"/>
    <w:rsid w:val="001D03FD"/>
    <w:rsid w:val="00297471"/>
    <w:rsid w:val="0030797E"/>
    <w:rsid w:val="00366E04"/>
    <w:rsid w:val="00456980"/>
    <w:rsid w:val="004F45D0"/>
    <w:rsid w:val="008C1C24"/>
    <w:rsid w:val="00A26F57"/>
    <w:rsid w:val="00B56762"/>
    <w:rsid w:val="00D43694"/>
    <w:rsid w:val="00D91B4D"/>
    <w:rsid w:val="00E2405C"/>
    <w:rsid w:val="00F13B73"/>
    <w:rsid w:val="00F722ED"/>
    <w:rsid w:val="00F7270B"/>
    <w:rsid w:val="00F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3BA14"/>
  <w15:chartTrackingRefBased/>
  <w15:docId w15:val="{62A5528F-4F73-472E-AEF2-3F43A867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43694"/>
    <w:pPr>
      <w:spacing w:after="200" w:line="276" w:lineRule="auto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43694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D43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Carpenedo</dc:creator>
  <cp:keywords/>
  <dc:description/>
  <cp:lastModifiedBy>Merciari</cp:lastModifiedBy>
  <cp:revision>4</cp:revision>
  <dcterms:created xsi:type="dcterms:W3CDTF">2024-01-09T17:56:00Z</dcterms:created>
  <dcterms:modified xsi:type="dcterms:W3CDTF">2024-01-09T18:43:00Z</dcterms:modified>
</cp:coreProperties>
</file>