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E4C6F" w14:textId="680BE08B" w:rsidR="00060149" w:rsidRDefault="004A10FD">
      <w:r>
        <w:t xml:space="preserve">Articolo: </w:t>
      </w:r>
      <w:r w:rsidRPr="004A10FD">
        <w:t>Nessuno vuole pagare il CUP per i servizi di telecomunicazione</w:t>
      </w:r>
    </w:p>
    <w:p w14:paraId="7DB058CD" w14:textId="5D9479C4" w:rsidR="004A10FD" w:rsidRDefault="004A10FD">
      <w:r>
        <w:t>Di Alessandro Merciari</w:t>
      </w:r>
    </w:p>
    <w:p w14:paraId="205AD8C7" w14:textId="77777777" w:rsidR="004A10FD" w:rsidRDefault="004A10FD" w:rsidP="00D11A23">
      <w:pPr>
        <w:jc w:val="both"/>
      </w:pPr>
    </w:p>
    <w:p w14:paraId="7EC51F69" w14:textId="669E3339" w:rsidR="00451A2F" w:rsidRDefault="004A10FD" w:rsidP="00D11A23">
      <w:pPr>
        <w:jc w:val="both"/>
      </w:pPr>
      <w:r>
        <w:t xml:space="preserve">La scadenza del 30 aprile 2025 per le dichiarazioni e i versamenti del Canone per i servizi di rete ha portato una sorpresa </w:t>
      </w:r>
      <w:r w:rsidR="00451A2F">
        <w:t>a</w:t>
      </w:r>
      <w:r>
        <w:t xml:space="preserve"> Comuni e Province, sul fronte</w:t>
      </w:r>
      <w:r w:rsidR="00451A2F">
        <w:t xml:space="preserve"> dei</w:t>
      </w:r>
      <w:r>
        <w:t xml:space="preserve"> pagamenti </w:t>
      </w:r>
      <w:r w:rsidR="0097655D">
        <w:t>ricevuti</w:t>
      </w:r>
      <w:r w:rsidR="00451A2F">
        <w:t xml:space="preserve"> da</w:t>
      </w:r>
      <w:r>
        <w:t>lle compagnie telefoniche</w:t>
      </w:r>
      <w:r w:rsidR="00451A2F">
        <w:t xml:space="preserve"> </w:t>
      </w:r>
      <w:r w:rsidR="00AC5824">
        <w:t xml:space="preserve">a titolo </w:t>
      </w:r>
      <w:r w:rsidR="000A1BB5">
        <w:t>di Canone</w:t>
      </w:r>
      <w:r w:rsidR="00451A2F">
        <w:t xml:space="preserve"> per i servizi di rete previsto</w:t>
      </w:r>
      <w:r w:rsidR="0097655D">
        <w:t>,</w:t>
      </w:r>
      <w:r w:rsidR="00451A2F">
        <w:t xml:space="preserve"> </w:t>
      </w:r>
      <w:r w:rsidR="0097655D">
        <w:t>all’interno della</w:t>
      </w:r>
      <w:r w:rsidR="00451A2F">
        <w:t xml:space="preserve"> disciplina CUP</w:t>
      </w:r>
      <w:r w:rsidR="0097655D">
        <w:t>,</w:t>
      </w:r>
      <w:r w:rsidR="00451A2F">
        <w:t xml:space="preserve"> al comma 831 della Legge 160/2019</w:t>
      </w:r>
      <w:r>
        <w:t xml:space="preserve">. </w:t>
      </w:r>
    </w:p>
    <w:p w14:paraId="776AA208" w14:textId="36DF729F" w:rsidR="004A10FD" w:rsidRDefault="00AC5824" w:rsidP="00D11A23">
      <w:pPr>
        <w:jc w:val="both"/>
      </w:pPr>
      <w:r>
        <w:t xml:space="preserve">Una novità che va ad interessare </w:t>
      </w:r>
      <w:r w:rsidR="00451A2F">
        <w:t>questo particolare s</w:t>
      </w:r>
      <w:r w:rsidR="004A10FD">
        <w:t>ettore d</w:t>
      </w:r>
      <w:r w:rsidR="00425A84">
        <w:t>ove da</w:t>
      </w:r>
      <w:r w:rsidR="004A10FD">
        <w:t xml:space="preserve"> sempre regna incertezza e </w:t>
      </w:r>
      <w:r w:rsidR="00425A84">
        <w:t xml:space="preserve">dove </w:t>
      </w:r>
      <w:r w:rsidR="0097655D">
        <w:t>stiamo</w:t>
      </w:r>
      <w:r w:rsidR="00425A84">
        <w:t xml:space="preserve"> assist</w:t>
      </w:r>
      <w:r w:rsidR="0097655D">
        <w:t>endo</w:t>
      </w:r>
      <w:r w:rsidR="00425A84">
        <w:t xml:space="preserve"> a </w:t>
      </w:r>
      <w:r w:rsidR="004A10FD">
        <w:t xml:space="preserve">forti scontri </w:t>
      </w:r>
      <w:r w:rsidR="0097655D">
        <w:t xml:space="preserve">e contenziosi </w:t>
      </w:r>
      <w:r w:rsidR="004A10FD">
        <w:t xml:space="preserve">sul corretto criterio da </w:t>
      </w:r>
      <w:r w:rsidR="0097655D">
        <w:t>utilizzare</w:t>
      </w:r>
      <w:r w:rsidR="004A10FD">
        <w:t xml:space="preserve"> per il</w:t>
      </w:r>
      <w:r w:rsidR="00425A84">
        <w:t xml:space="preserve"> calcolo del</w:t>
      </w:r>
      <w:r w:rsidR="004A10FD">
        <w:t xml:space="preserve"> canone.</w:t>
      </w:r>
      <w:r w:rsidR="00451A2F">
        <w:t xml:space="preserve"> </w:t>
      </w:r>
      <w:r>
        <w:t>L’unico</w:t>
      </w:r>
      <w:r w:rsidR="00425A84">
        <w:t xml:space="preserve"> settore</w:t>
      </w:r>
      <w:r>
        <w:t>,</w:t>
      </w:r>
      <w:r w:rsidR="00425A84">
        <w:t xml:space="preserve"> tra i vari servizi di rete</w:t>
      </w:r>
      <w:r w:rsidR="00451A2F">
        <w:t xml:space="preserve"> </w:t>
      </w:r>
      <w:r w:rsidR="00425A84">
        <w:t>erogati</w:t>
      </w:r>
      <w:r w:rsidR="0097655D">
        <w:t xml:space="preserve"> nei territori comunali</w:t>
      </w:r>
      <w:r w:rsidR="00425A84">
        <w:t xml:space="preserve">, </w:t>
      </w:r>
      <w:r w:rsidR="004A10FD">
        <w:t>dove er</w:t>
      </w:r>
      <w:r w:rsidR="00425A84">
        <w:t xml:space="preserve">a possibile </w:t>
      </w:r>
      <w:r w:rsidR="004A10FD">
        <w:t>applicare il principio d</w:t>
      </w:r>
      <w:r w:rsidR="00451A2F">
        <w:t>ella cosiddetta</w:t>
      </w:r>
      <w:r w:rsidR="004A10FD">
        <w:t xml:space="preserve"> soggettività passiva in via mediata</w:t>
      </w:r>
      <w:r w:rsidR="00425A84">
        <w:t xml:space="preserve">, </w:t>
      </w:r>
      <w:r>
        <w:t xml:space="preserve">principio introdotto </w:t>
      </w:r>
      <w:r w:rsidR="00425A84">
        <w:t xml:space="preserve">dal Legislatore con </w:t>
      </w:r>
      <w:r>
        <w:t xml:space="preserve">il primo emendamento alla disciplina del Canone Unico contenuto nella Legge Finanziaria 2021, quando fu </w:t>
      </w:r>
      <w:r w:rsidR="0097655D">
        <w:t>previsto</w:t>
      </w:r>
      <w:r>
        <w:t xml:space="preserve"> in sostituzione del diverso calcolo basato sul </w:t>
      </w:r>
      <w:r w:rsidRPr="00AC5824">
        <w:rPr>
          <w:i/>
          <w:iCs/>
        </w:rPr>
        <w:t>diritto di rivalsa</w:t>
      </w:r>
      <w:r w:rsidR="0097655D">
        <w:rPr>
          <w:i/>
          <w:iCs/>
        </w:rPr>
        <w:t xml:space="preserve"> </w:t>
      </w:r>
      <w:r w:rsidR="0097655D" w:rsidRPr="0097655D">
        <w:t>del titolare della rete</w:t>
      </w:r>
      <w:r>
        <w:t>.</w:t>
      </w:r>
    </w:p>
    <w:p w14:paraId="2CF9B6E3" w14:textId="057562B9" w:rsidR="00AC5824" w:rsidRDefault="004A10FD" w:rsidP="00A953DE">
      <w:pPr>
        <w:jc w:val="both"/>
      </w:pPr>
      <w:r>
        <w:t xml:space="preserve">Con le dichiarazioni </w:t>
      </w:r>
      <w:r w:rsidR="00451A2F">
        <w:t xml:space="preserve">inviate a </w:t>
      </w:r>
      <w:r>
        <w:t>tutti gli enti</w:t>
      </w:r>
      <w:r w:rsidR="00451A2F">
        <w:t xml:space="preserve"> locali</w:t>
      </w:r>
      <w:r>
        <w:t>, TIM ha</w:t>
      </w:r>
      <w:r w:rsidR="0097655D">
        <w:t xml:space="preserve"> in questi giorni</w:t>
      </w:r>
      <w:r>
        <w:t xml:space="preserve"> comunicato quello che</w:t>
      </w:r>
      <w:r w:rsidR="00AC5824">
        <w:t xml:space="preserve"> </w:t>
      </w:r>
      <w:r w:rsidR="000A1BB5">
        <w:t>oggi rappresenta</w:t>
      </w:r>
      <w:r>
        <w:t xml:space="preserve"> un vero e proprio colpo di scena. </w:t>
      </w:r>
      <w:r w:rsidR="003D0E5C">
        <w:t>La compagnia ex monopolista, per effetto della vendita della</w:t>
      </w:r>
      <w:r w:rsidR="00A953DE">
        <w:t xml:space="preserve"> propria infrastruttura telefonica di rete fissa alla società </w:t>
      </w:r>
      <w:proofErr w:type="spellStart"/>
      <w:r w:rsidR="00A953DE">
        <w:t>Fibercop</w:t>
      </w:r>
      <w:proofErr w:type="spellEnd"/>
      <w:r w:rsidR="00A953DE">
        <w:t xml:space="preserve"> </w:t>
      </w:r>
      <w:r w:rsidR="00A953DE">
        <w:t>S.p.A.</w:t>
      </w:r>
      <w:r w:rsidR="00A953DE">
        <w:t xml:space="preserve"> </w:t>
      </w:r>
      <w:r w:rsidR="003D0E5C">
        <w:t xml:space="preserve">a far data dal </w:t>
      </w:r>
      <w:r w:rsidR="000A1BB5">
        <w:t>1° luglio</w:t>
      </w:r>
      <w:r w:rsidR="003D0E5C">
        <w:t xml:space="preserve"> 2024, dichiara una sola utenza</w:t>
      </w:r>
      <w:r w:rsidR="00451A2F">
        <w:t xml:space="preserve"> per ciascun territorio,</w:t>
      </w:r>
      <w:r w:rsidR="003D0E5C">
        <w:t xml:space="preserve"> con conseguente </w:t>
      </w:r>
      <w:r w:rsidR="00D11A23">
        <w:t>pagamento</w:t>
      </w:r>
      <w:r w:rsidR="003D0E5C">
        <w:t xml:space="preserve"> del canone nella misura minima, </w:t>
      </w:r>
      <w:r w:rsidR="00451A2F">
        <w:t xml:space="preserve">fissata </w:t>
      </w:r>
      <w:r w:rsidR="00A953DE">
        <w:t xml:space="preserve">per il 2025 </w:t>
      </w:r>
      <w:r w:rsidR="00A953DE">
        <w:t>in</w:t>
      </w:r>
      <w:r w:rsidR="003D0E5C">
        <w:t xml:space="preserve"> Euro 940,02. </w:t>
      </w:r>
    </w:p>
    <w:p w14:paraId="6A73DCBF" w14:textId="1CBF5DB5" w:rsidR="004A10FD" w:rsidRDefault="003D0E5C" w:rsidP="00A953DE">
      <w:pPr>
        <w:jc w:val="both"/>
      </w:pPr>
      <w:r>
        <w:t xml:space="preserve">TIM quindi abbandona </w:t>
      </w:r>
      <w:r w:rsidR="00451A2F">
        <w:t xml:space="preserve">definitivamente </w:t>
      </w:r>
      <w:r>
        <w:t xml:space="preserve">il calcolo </w:t>
      </w:r>
      <w:r w:rsidR="00AC5824">
        <w:t xml:space="preserve">del canone </w:t>
      </w:r>
      <w:r>
        <w:t xml:space="preserve">basato sulle </w:t>
      </w:r>
      <w:r w:rsidR="00A953DE">
        <w:t xml:space="preserve">proprie </w:t>
      </w:r>
      <w:r>
        <w:t xml:space="preserve">utenze attive di rete fissa e si </w:t>
      </w:r>
      <w:r w:rsidR="00451A2F">
        <w:t>posizion</w:t>
      </w:r>
      <w:r w:rsidR="0097655D">
        <w:t>a</w:t>
      </w:r>
      <w:r w:rsidR="00451A2F">
        <w:t xml:space="preserve"> tra quelle </w:t>
      </w:r>
      <w:r>
        <w:t xml:space="preserve">società </w:t>
      </w:r>
      <w:r w:rsidR="00AC5824">
        <w:t xml:space="preserve">competitor sul mercato </w:t>
      </w:r>
      <w:r>
        <w:t xml:space="preserve">che </w:t>
      </w:r>
      <w:r w:rsidR="00D11A23">
        <w:t>non occupa</w:t>
      </w:r>
      <w:r w:rsidR="00451A2F">
        <w:t>no</w:t>
      </w:r>
      <w:r w:rsidR="00D11A23">
        <w:t xml:space="preserve"> </w:t>
      </w:r>
      <w:r w:rsidR="00451A2F">
        <w:t xml:space="preserve">direttamente </w:t>
      </w:r>
      <w:r w:rsidR="00D11A23">
        <w:t xml:space="preserve">suolo pubblico, </w:t>
      </w:r>
      <w:r w:rsidR="00A953DE">
        <w:t>ritenendosi estrane</w:t>
      </w:r>
      <w:r w:rsidR="00AC5824">
        <w:t>e</w:t>
      </w:r>
      <w:r w:rsidR="00A953DE">
        <w:t xml:space="preserve"> anche alla soggettività</w:t>
      </w:r>
      <w:r w:rsidR="00AC5824">
        <w:t xml:space="preserve"> passiva</w:t>
      </w:r>
      <w:r w:rsidR="00A953DE">
        <w:t xml:space="preserve"> in </w:t>
      </w:r>
      <w:r w:rsidR="00D11A23">
        <w:t>via mediata.</w:t>
      </w:r>
    </w:p>
    <w:p w14:paraId="7A2933A5" w14:textId="77777777" w:rsidR="003F4D56" w:rsidRDefault="00AC5824" w:rsidP="00A953DE">
      <w:pPr>
        <w:jc w:val="both"/>
      </w:pPr>
      <w:r>
        <w:t>La principale compagnia italiana</w:t>
      </w:r>
      <w:r w:rsidR="00A953DE">
        <w:t xml:space="preserve"> dichiara </w:t>
      </w:r>
      <w:r w:rsidR="003F4D56">
        <w:t xml:space="preserve">infatti </w:t>
      </w:r>
      <w:r w:rsidR="00A953DE">
        <w:t xml:space="preserve">di acquistare, al pari delle altre </w:t>
      </w:r>
      <w:r>
        <w:t>corporate</w:t>
      </w:r>
      <w:r w:rsidR="00A953DE">
        <w:t xml:space="preserve"> telefoniche, servizi virtuali di rete necessari per raggiungere l’utente finale, valutando questa dinamica come un’ipotesi di esclusione dal presupposto applicativo del Canone Unico non configurando alcuna occupazione, neppure mediata, del suolo pubblico.</w:t>
      </w:r>
      <w:r>
        <w:t xml:space="preserve"> </w:t>
      </w:r>
    </w:p>
    <w:p w14:paraId="22FEBAB1" w14:textId="1456C428" w:rsidR="00A953DE" w:rsidRDefault="00AC5824" w:rsidP="00A953DE">
      <w:pPr>
        <w:jc w:val="both"/>
      </w:pPr>
      <w:r>
        <w:t>Le oltre 20 milioni di utenze attive di rete fissa in Italia (dati dell’osservatorio Agcom) non saranno più conteggiate per il calcolo del canone unico, salvo che l</w:t>
      </w:r>
      <w:r w:rsidR="004C64FB">
        <w:t>’attuale</w:t>
      </w:r>
      <w:r>
        <w:t xml:space="preserve"> società titolare della rete, non se ne faccia </w:t>
      </w:r>
      <w:r w:rsidR="003F4D56">
        <w:t xml:space="preserve">direttamente </w:t>
      </w:r>
      <w:r w:rsidR="004C64FB">
        <w:t>carico, in qualità di proprietaria della rete di distribuzione del servizio.</w:t>
      </w:r>
    </w:p>
    <w:p w14:paraId="53078CAD" w14:textId="6D78C732" w:rsidR="00B32729" w:rsidRDefault="00B32729" w:rsidP="00A953DE">
      <w:pPr>
        <w:jc w:val="both"/>
      </w:pPr>
      <w:r>
        <w:t>Non bisogn</w:t>
      </w:r>
      <w:r w:rsidR="003F4D56">
        <w:t>a</w:t>
      </w:r>
      <w:r>
        <w:t xml:space="preserve"> dimenticare </w:t>
      </w:r>
      <w:r w:rsidR="00973445">
        <w:t>che</w:t>
      </w:r>
      <w:r w:rsidR="00A953DE">
        <w:t xml:space="preserve"> il Legislatore ha fissato </w:t>
      </w:r>
      <w:r w:rsidR="003F4D56">
        <w:t>il</w:t>
      </w:r>
      <w:r w:rsidR="00A953DE">
        <w:t xml:space="preserve"> criterio di calcolo del canone in base al numero di utenze attive nel territorio di competenza</w:t>
      </w:r>
      <w:r w:rsidR="00973445">
        <w:t xml:space="preserve">, e che non è </w:t>
      </w:r>
      <w:r w:rsidR="003F4D56">
        <w:t>in nessun caso contemplata la possibilità</w:t>
      </w:r>
      <w:r w:rsidR="00973445">
        <w:t xml:space="preserve"> che nessuno versi in base al numero effettivo di utenze attive</w:t>
      </w:r>
      <w:r w:rsidR="00A953DE">
        <w:t>.</w:t>
      </w:r>
      <w:r w:rsidR="00973445">
        <w:t xml:space="preserve"> Così come avviene negli altri settori, come </w:t>
      </w:r>
      <w:r>
        <w:t xml:space="preserve">quello di distribuzione del </w:t>
      </w:r>
      <w:r w:rsidR="003F4D56">
        <w:t>G</w:t>
      </w:r>
      <w:r w:rsidR="00973445">
        <w:t xml:space="preserve">as e </w:t>
      </w:r>
      <w:r>
        <w:t>dell’</w:t>
      </w:r>
      <w:r w:rsidR="003F4D56">
        <w:t>E</w:t>
      </w:r>
      <w:r w:rsidR="00973445">
        <w:t xml:space="preserve">nergia elettrica, dove chi gestisce la rete </w:t>
      </w:r>
      <w:r>
        <w:t>versa</w:t>
      </w:r>
      <w:r w:rsidR="00973445">
        <w:t xml:space="preserve"> il canone sulla base delle utenze attive dei vari soggetti addetti alla vendita del servizio, ancorché queste non realizzino nessuna occupazione </w:t>
      </w:r>
      <w:r>
        <w:t xml:space="preserve">diretta </w:t>
      </w:r>
      <w:r w:rsidR="00973445">
        <w:t>di suolo pubblico</w:t>
      </w:r>
      <w:r>
        <w:t>, anche nel settore della telefonia deve trovare spazio il calcolo in base alle utenze attive</w:t>
      </w:r>
      <w:r w:rsidR="00973445">
        <w:t xml:space="preserve">. </w:t>
      </w:r>
    </w:p>
    <w:p w14:paraId="3DC2175D" w14:textId="1628310B" w:rsidR="00973445" w:rsidRDefault="00973445" w:rsidP="00A953DE">
      <w:pPr>
        <w:jc w:val="both"/>
      </w:pPr>
      <w:r>
        <w:t>Delle due l’una, o si applica il calcolo stabilito dalla norma di interpretazione autentica introdotta con la L</w:t>
      </w:r>
      <w:r w:rsidRPr="00973445">
        <w:t>egge 215/2021, di conversione del Dl 146/2021</w:t>
      </w:r>
      <w:r>
        <w:t xml:space="preserve">, </w:t>
      </w:r>
      <w:r w:rsidR="00B32729">
        <w:t xml:space="preserve">già </w:t>
      </w:r>
      <w:r w:rsidR="003F4D56">
        <w:t>adottato</w:t>
      </w:r>
      <w:r w:rsidR="00B32729">
        <w:t xml:space="preserve"> per i servizi di </w:t>
      </w:r>
      <w:r w:rsidR="009A3878">
        <w:t xml:space="preserve">distribuzione </w:t>
      </w:r>
      <w:r w:rsidR="00B32729">
        <w:t xml:space="preserve">Gas ed Energia Elettrica, </w:t>
      </w:r>
      <w:r>
        <w:t>oppure si applica il criterio d</w:t>
      </w:r>
      <w:r w:rsidR="00B32729">
        <w:t>ella</w:t>
      </w:r>
      <w:r>
        <w:t xml:space="preserve"> soggettività passiva in via mediata</w:t>
      </w:r>
      <w:r w:rsidR="00B32729">
        <w:t>, in base al quale ogni operatore che sfrutta la rete,</w:t>
      </w:r>
      <w:r w:rsidR="003F4D56">
        <w:t xml:space="preserve"> virtualmente o materialmente,</w:t>
      </w:r>
      <w:r w:rsidR="00B32729">
        <w:t xml:space="preserve"> versa in base alle proprie utenze</w:t>
      </w:r>
      <w:r>
        <w:t>. Non può esistere una terza possibilità che andrebbe in danno degli enti beneficiari del canone.</w:t>
      </w:r>
    </w:p>
    <w:p w14:paraId="107F52C5" w14:textId="576E4DB5" w:rsidR="00D11A23" w:rsidRDefault="00973445" w:rsidP="00D11A23">
      <w:pPr>
        <w:jc w:val="both"/>
      </w:pPr>
      <w:r>
        <w:t>A questo proposito è bene ricordare che, c</w:t>
      </w:r>
      <w:r w:rsidR="00A953DE">
        <w:t xml:space="preserve">on il passaggio a tariffa forfettaria, </w:t>
      </w:r>
      <w:r w:rsidR="00B32729">
        <w:t xml:space="preserve">già </w:t>
      </w:r>
      <w:r>
        <w:t>introdotto</w:t>
      </w:r>
      <w:r w:rsidR="00B32729">
        <w:t xml:space="preserve"> con i precedenti </w:t>
      </w:r>
      <w:r w:rsidR="000A1BB5">
        <w:t>prelievi dall’articolo</w:t>
      </w:r>
      <w:r w:rsidR="00A953DE">
        <w:t xml:space="preserve"> 63 del </w:t>
      </w:r>
      <w:proofErr w:type="spellStart"/>
      <w:r w:rsidR="00A953DE">
        <w:t>D.Lgs</w:t>
      </w:r>
      <w:proofErr w:type="spellEnd"/>
      <w:r w:rsidR="00A953DE">
        <w:t xml:space="preserve"> 446/97, si superava il calcolo delle occupazioni di sottosuolo</w:t>
      </w:r>
      <w:r>
        <w:t xml:space="preserve"> realizzate con cavi e condutture basato</w:t>
      </w:r>
      <w:r w:rsidR="00425A84">
        <w:t xml:space="preserve"> fino a quel momento sulla </w:t>
      </w:r>
      <w:r w:rsidR="00425A84" w:rsidRPr="00425A84">
        <w:t>lunghezza delle</w:t>
      </w:r>
      <w:r w:rsidR="00425A84">
        <w:t xml:space="preserve"> </w:t>
      </w:r>
      <w:r w:rsidR="00425A84" w:rsidRPr="00425A84">
        <w:t>strade comunali o provinciali</w:t>
      </w:r>
      <w:r w:rsidR="009A3878">
        <w:t xml:space="preserve">. Introducendo il </w:t>
      </w:r>
      <w:r w:rsidR="00B32729">
        <w:t>criterio delle utenze attive</w:t>
      </w:r>
      <w:r w:rsidR="009A3878">
        <w:t xml:space="preserve">, si era voluto semplicemente superare i problemi tecnici legati alle </w:t>
      </w:r>
      <w:r w:rsidR="009A3878">
        <w:lastRenderedPageBreak/>
        <w:t>misurazioni in metri quadrati di occupazioni realizzate nel sottosuolo, non di certo riconoscere agevolazioni a quegli operatori economici, che sfruttano per la loro attività d’impresa il suolo pubblico.</w:t>
      </w:r>
    </w:p>
    <w:p w14:paraId="15FB010A" w14:textId="2BC168B6" w:rsidR="00656823" w:rsidRDefault="00656823" w:rsidP="00D11A23">
      <w:pPr>
        <w:jc w:val="both"/>
      </w:pPr>
      <w:r>
        <w:t xml:space="preserve">L’interrogativo </w:t>
      </w:r>
      <w:r w:rsidR="009A3878">
        <w:t>oggi</w:t>
      </w:r>
      <w:r>
        <w:t xml:space="preserve"> è: chi pagherà il Canone per le utenze telefoniche? </w:t>
      </w:r>
      <w:proofErr w:type="spellStart"/>
      <w:r>
        <w:t>Fibercop</w:t>
      </w:r>
      <w:proofErr w:type="spellEnd"/>
      <w:r>
        <w:t xml:space="preserve"> come titolare della rete, versando il canone sulla base di tutte le utenze attive</w:t>
      </w:r>
      <w:r w:rsidR="009A3878">
        <w:t xml:space="preserve"> delle diverse compagnie di vendita</w:t>
      </w:r>
      <w:r>
        <w:t>,</w:t>
      </w:r>
      <w:r w:rsidR="009A3878">
        <w:t xml:space="preserve"> esattamente come avviene nei settori del gas e dell’energia,</w:t>
      </w:r>
      <w:r>
        <w:t xml:space="preserve"> </w:t>
      </w:r>
      <w:r w:rsidR="00855613">
        <w:t xml:space="preserve">dove chi offre i servizi non occupa suolo pubblico ma utilizza le linee elettriche e le condutture del gas senza avere un’occupazione diretta, </w:t>
      </w:r>
      <w:r>
        <w:t xml:space="preserve">oppure ciascuna </w:t>
      </w:r>
      <w:r w:rsidR="00855613">
        <w:t xml:space="preserve">azienda </w:t>
      </w:r>
      <w:r>
        <w:t xml:space="preserve"> </w:t>
      </w:r>
      <w:r w:rsidR="00855613">
        <w:t xml:space="preserve">telefonica </w:t>
      </w:r>
      <w:r>
        <w:t xml:space="preserve">che </w:t>
      </w:r>
      <w:r w:rsidR="009A3878">
        <w:t>ha il rapporto con i</w:t>
      </w:r>
      <w:r>
        <w:t>l cliente finale, per effetto dell’uso mediato</w:t>
      </w:r>
      <w:r w:rsidR="000A1BB5">
        <w:t xml:space="preserve">, </w:t>
      </w:r>
      <w:r w:rsidR="000A1BB5">
        <w:t>ancorché virtual</w:t>
      </w:r>
      <w:r w:rsidR="009A3878">
        <w:t>e</w:t>
      </w:r>
      <w:r>
        <w:t xml:space="preserve"> </w:t>
      </w:r>
      <w:r w:rsidR="000A1BB5">
        <w:t>a</w:t>
      </w:r>
      <w:r>
        <w:t>lla rete</w:t>
      </w:r>
      <w:r w:rsidR="000A1BB5">
        <w:t>?</w:t>
      </w:r>
    </w:p>
    <w:p w14:paraId="07528BE1" w14:textId="77777777" w:rsidR="000A1BB5" w:rsidRDefault="000A1BB5" w:rsidP="00D11A23">
      <w:pPr>
        <w:jc w:val="both"/>
      </w:pPr>
    </w:p>
    <w:p w14:paraId="43E7E7C8" w14:textId="77777777" w:rsidR="00D11A23" w:rsidRDefault="00D11A23"/>
    <w:sectPr w:rsidR="00D11A2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E17"/>
    <w:rsid w:val="00060149"/>
    <w:rsid w:val="000A1BB5"/>
    <w:rsid w:val="00324CB3"/>
    <w:rsid w:val="003D0E5C"/>
    <w:rsid w:val="003F4D56"/>
    <w:rsid w:val="00425A84"/>
    <w:rsid w:val="00436F9B"/>
    <w:rsid w:val="00451A2F"/>
    <w:rsid w:val="004A10FD"/>
    <w:rsid w:val="004C64FB"/>
    <w:rsid w:val="00576E17"/>
    <w:rsid w:val="005B214F"/>
    <w:rsid w:val="00656823"/>
    <w:rsid w:val="007B1496"/>
    <w:rsid w:val="00855613"/>
    <w:rsid w:val="00895CB9"/>
    <w:rsid w:val="00973445"/>
    <w:rsid w:val="0097655D"/>
    <w:rsid w:val="009A3878"/>
    <w:rsid w:val="00A953DE"/>
    <w:rsid w:val="00AC5824"/>
    <w:rsid w:val="00B32729"/>
    <w:rsid w:val="00D11A2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873F8"/>
  <w15:chartTrackingRefBased/>
  <w15:docId w15:val="{4D282912-F901-48F9-A52C-13CB192F5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576E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576E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576E17"/>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576E17"/>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576E17"/>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576E1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76E1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76E1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76E1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76E17"/>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576E17"/>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576E17"/>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576E17"/>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576E17"/>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576E1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76E1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76E1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76E17"/>
    <w:rPr>
      <w:rFonts w:eastAsiaTheme="majorEastAsia" w:cstheme="majorBidi"/>
      <w:color w:val="272727" w:themeColor="text1" w:themeTint="D8"/>
    </w:rPr>
  </w:style>
  <w:style w:type="paragraph" w:styleId="Titolo">
    <w:name w:val="Title"/>
    <w:basedOn w:val="Normale"/>
    <w:next w:val="Normale"/>
    <w:link w:val="TitoloCarattere"/>
    <w:uiPriority w:val="10"/>
    <w:qFormat/>
    <w:rsid w:val="00576E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76E1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76E1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76E1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76E1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76E17"/>
    <w:rPr>
      <w:i/>
      <w:iCs/>
      <w:color w:val="404040" w:themeColor="text1" w:themeTint="BF"/>
    </w:rPr>
  </w:style>
  <w:style w:type="paragraph" w:styleId="Paragrafoelenco">
    <w:name w:val="List Paragraph"/>
    <w:basedOn w:val="Normale"/>
    <w:uiPriority w:val="34"/>
    <w:qFormat/>
    <w:rsid w:val="00576E17"/>
    <w:pPr>
      <w:ind w:left="720"/>
      <w:contextualSpacing/>
    </w:pPr>
  </w:style>
  <w:style w:type="character" w:styleId="Enfasiintensa">
    <w:name w:val="Intense Emphasis"/>
    <w:basedOn w:val="Carpredefinitoparagrafo"/>
    <w:uiPriority w:val="21"/>
    <w:qFormat/>
    <w:rsid w:val="00576E17"/>
    <w:rPr>
      <w:i/>
      <w:iCs/>
      <w:color w:val="2F5496" w:themeColor="accent1" w:themeShade="BF"/>
    </w:rPr>
  </w:style>
  <w:style w:type="paragraph" w:styleId="Citazioneintensa">
    <w:name w:val="Intense Quote"/>
    <w:basedOn w:val="Normale"/>
    <w:next w:val="Normale"/>
    <w:link w:val="CitazioneintensaCarattere"/>
    <w:uiPriority w:val="30"/>
    <w:qFormat/>
    <w:rsid w:val="00576E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576E17"/>
    <w:rPr>
      <w:i/>
      <w:iCs/>
      <w:color w:val="2F5496" w:themeColor="accent1" w:themeShade="BF"/>
    </w:rPr>
  </w:style>
  <w:style w:type="character" w:styleId="Riferimentointenso">
    <w:name w:val="Intense Reference"/>
    <w:basedOn w:val="Carpredefinitoparagrafo"/>
    <w:uiPriority w:val="32"/>
    <w:qFormat/>
    <w:rsid w:val="00576E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345</TotalTime>
  <Pages>2</Pages>
  <Words>720</Words>
  <Characters>4109</Characters>
  <Application>Microsoft Office Word</Application>
  <DocSecurity>0</DocSecurity>
  <Lines>34</Lines>
  <Paragraphs>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10</cp:revision>
  <dcterms:created xsi:type="dcterms:W3CDTF">2025-04-30T06:38:00Z</dcterms:created>
  <dcterms:modified xsi:type="dcterms:W3CDTF">2025-05-02T11:23:00Z</dcterms:modified>
</cp:coreProperties>
</file>