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01C98B" w14:textId="0995B283" w:rsidR="00060149" w:rsidRDefault="0061460A">
      <w:r>
        <w:t>Titolo:</w:t>
      </w:r>
      <w:r w:rsidR="009E127E">
        <w:t xml:space="preserve"> </w:t>
      </w:r>
      <w:r w:rsidR="00842C4B">
        <w:t>Presunte s</w:t>
      </w:r>
      <w:r w:rsidRPr="0061460A">
        <w:t>emplificazioni in materia di canone patrimoniale di concessione</w:t>
      </w:r>
    </w:p>
    <w:p w14:paraId="55B39DA4" w14:textId="3B3844EB" w:rsidR="0061460A" w:rsidRDefault="007A354F">
      <w:r>
        <w:t>Di Alessandro Merciari</w:t>
      </w:r>
    </w:p>
    <w:p w14:paraId="69535531" w14:textId="77777777" w:rsidR="00056B24" w:rsidRDefault="0061460A" w:rsidP="0061460A">
      <w:pPr>
        <w:jc w:val="both"/>
      </w:pPr>
      <w:r w:rsidRPr="0061460A">
        <w:t>La Legge 2 dicembre 2025, n. 182 recante "Disposizioni per la semplificazione e la digitalizzazione dei procedimenti in materia di attività economiche e di servizi a favore dei cittadini e delle imprese" modifica la Legge 160/2019 nella parte in cui disciplina le esenzioni del canone unico patrimoniale</w:t>
      </w:r>
      <w:r>
        <w:t>.</w:t>
      </w:r>
      <w:r w:rsidR="00AE2126">
        <w:t xml:space="preserve"> </w:t>
      </w:r>
    </w:p>
    <w:p w14:paraId="2C18C7AA" w14:textId="27DF2B64" w:rsidR="0061460A" w:rsidRPr="0061460A" w:rsidRDefault="00AE2126" w:rsidP="0061460A">
      <w:pPr>
        <w:jc w:val="both"/>
      </w:pPr>
      <w:r>
        <w:t>In particolare l</w:t>
      </w:r>
      <w:r w:rsidR="0061460A" w:rsidRPr="0061460A">
        <w:t xml:space="preserve">’articolo 8 </w:t>
      </w:r>
      <w:r w:rsidR="00056B24">
        <w:t xml:space="preserve">della legge </w:t>
      </w:r>
      <w:r w:rsidR="0061460A" w:rsidRPr="0061460A">
        <w:t xml:space="preserve">modifica la lettera </w:t>
      </w:r>
      <w:r w:rsidR="00056B24">
        <w:t>L</w:t>
      </w:r>
      <w:r w:rsidR="0061460A" w:rsidRPr="0061460A">
        <w:t>) del comma 833 (esenzioni), prevedendo che siano esenti non solo le insegne, ma anche le targhe che contraddistinguono sia la sede, sia il cantiere, ove si svolge l’attività, fino a</w:t>
      </w:r>
      <w:r w:rsidR="00056B24">
        <w:t>d un</w:t>
      </w:r>
      <w:r w:rsidR="0061460A" w:rsidRPr="0061460A">
        <w:t xml:space="preserve"> massimo</w:t>
      </w:r>
      <w:r w:rsidR="00056B24">
        <w:t xml:space="preserve"> di </w:t>
      </w:r>
      <w:r w:rsidR="0061460A" w:rsidRPr="0061460A">
        <w:t xml:space="preserve"> 5 metri quadrati.</w:t>
      </w:r>
    </w:p>
    <w:p w14:paraId="5D01A082" w14:textId="32CCD7C3" w:rsidR="0061460A" w:rsidRDefault="0061460A" w:rsidP="0061460A">
      <w:pPr>
        <w:jc w:val="both"/>
        <w:rPr>
          <w:b/>
          <w:bCs/>
          <w:i/>
          <w:iCs/>
        </w:rPr>
      </w:pPr>
      <w:r>
        <w:t xml:space="preserve">L’articolo </w:t>
      </w:r>
      <w:r w:rsidRPr="0061460A">
        <w:t xml:space="preserve">8 </w:t>
      </w:r>
      <w:r>
        <w:t>prevede: “</w:t>
      </w:r>
      <w:r w:rsidRPr="0061460A">
        <w:rPr>
          <w:i/>
          <w:iCs/>
        </w:rPr>
        <w:t>1.</w:t>
      </w:r>
      <w:r>
        <w:rPr>
          <w:i/>
          <w:iCs/>
        </w:rPr>
        <w:t xml:space="preserve"> </w:t>
      </w:r>
      <w:r w:rsidRPr="0061460A">
        <w:rPr>
          <w:i/>
          <w:iCs/>
        </w:rPr>
        <w:t xml:space="preserve">All'articolo 1, comma 833, della legge 27 dicembre 2019, n. 160, la lettera l) </w:t>
      </w:r>
      <w:proofErr w:type="spellStart"/>
      <w:r w:rsidRPr="0061460A">
        <w:rPr>
          <w:i/>
          <w:iCs/>
        </w:rPr>
        <w:t>é</w:t>
      </w:r>
      <w:proofErr w:type="spellEnd"/>
      <w:r w:rsidRPr="0061460A">
        <w:rPr>
          <w:i/>
          <w:iCs/>
        </w:rPr>
        <w:t xml:space="preserve"> sostituita dalla seguente: </w:t>
      </w:r>
      <w:r w:rsidRPr="0061460A">
        <w:rPr>
          <w:b/>
          <w:bCs/>
          <w:i/>
          <w:iCs/>
        </w:rPr>
        <w:t>«l) le targhe nonché le insegne di esercizio di attività commerciali e di produzione di beni o servizi che contraddistinguono la sede o il cantiere ove si svolge l'attività cui si riferiscono, di superficie complessiva fino a 5 metri quadrati».”</w:t>
      </w:r>
    </w:p>
    <w:p w14:paraId="0A780637" w14:textId="77777777" w:rsidR="00056B24" w:rsidRDefault="00AE2126" w:rsidP="0061460A">
      <w:pPr>
        <w:jc w:val="both"/>
      </w:pPr>
      <w:r>
        <w:t xml:space="preserve">Con questo approfondimento cerchiamo di capire il significato </w:t>
      </w:r>
      <w:r w:rsidR="002A5CEF">
        <w:t>della</w:t>
      </w:r>
      <w:r>
        <w:t xml:space="preserve"> modifica e cosa abbia spinto il Legislatore </w:t>
      </w:r>
      <w:r w:rsidR="00FB476B">
        <w:t xml:space="preserve">ad introdurla tralasciandone </w:t>
      </w:r>
      <w:r>
        <w:t xml:space="preserve">altre ben più </w:t>
      </w:r>
      <w:r w:rsidR="00056B24">
        <w:t>attese</w:t>
      </w:r>
      <w:r>
        <w:t xml:space="preserve"> e urgenti.</w:t>
      </w:r>
      <w:r w:rsidR="00056B24">
        <w:t xml:space="preserve"> </w:t>
      </w:r>
    </w:p>
    <w:p w14:paraId="5330A94D" w14:textId="7EC334EC" w:rsidR="00AE2126" w:rsidRDefault="00056B24" w:rsidP="0061460A">
      <w:pPr>
        <w:jc w:val="both"/>
      </w:pPr>
      <w:r>
        <w:t>Così, mentre siamo ancora in attesa di modifiche normative che sbroglino questioni fondamentali come la soggettività attiva in materia pubblicitaria, come la facoltà di aumentare le tariffe da parte degli enti locali, o interventi interpretativi sulla questione della soggettività passiva in via mediata, sul regime sanzionatorio e sulle regole da applicare al sistema tariffario del canone mercatale, ci troviamo a commentare una modifica di cui nessuno sentiva l’esigenza.</w:t>
      </w:r>
    </w:p>
    <w:p w14:paraId="47A017DE" w14:textId="274FC7F3" w:rsidR="00FB476B" w:rsidRDefault="00FB476B" w:rsidP="0061460A">
      <w:pPr>
        <w:jc w:val="both"/>
      </w:pPr>
      <w:r>
        <w:t xml:space="preserve">Innanzi tutto è curioso </w:t>
      </w:r>
      <w:r w:rsidR="00056B24">
        <w:t xml:space="preserve">constatare </w:t>
      </w:r>
      <w:r>
        <w:t>i</w:t>
      </w:r>
      <w:r w:rsidR="001430AA">
        <w:t>l</w:t>
      </w:r>
      <w:r>
        <w:t xml:space="preserve"> contesto normativo in cui si è </w:t>
      </w:r>
      <w:r w:rsidR="00056B24">
        <w:t>voluto inserire la</w:t>
      </w:r>
      <w:r>
        <w:t xml:space="preserve"> modifica alle esenzioni CUP, difficile trovare un collegamento </w:t>
      </w:r>
      <w:r w:rsidR="001430AA">
        <w:t xml:space="preserve">tra la modifica del comma 833 e </w:t>
      </w:r>
      <w:r>
        <w:t xml:space="preserve">la semplificazione e digitalizzazione dei </w:t>
      </w:r>
      <w:r w:rsidRPr="0061460A">
        <w:t>procedimenti in materia di attività economiche e di servizi a favore dei cittadini e delle imprese</w:t>
      </w:r>
      <w:r w:rsidR="00056B24">
        <w:t xml:space="preserve">, </w:t>
      </w:r>
      <w:proofErr w:type="spellStart"/>
      <w:r w:rsidR="00056B24">
        <w:t>tantè</w:t>
      </w:r>
      <w:proofErr w:type="spellEnd"/>
      <w:r w:rsidR="00056B24">
        <w:t xml:space="preserve"> quella che commentiamo oggi è legge.</w:t>
      </w:r>
    </w:p>
    <w:p w14:paraId="7365EDA6" w14:textId="37B12AC1" w:rsidR="002A5CEF" w:rsidRDefault="002A5CEF" w:rsidP="0061460A">
      <w:pPr>
        <w:jc w:val="both"/>
      </w:pPr>
      <w:r>
        <w:t xml:space="preserve">Con la modifica normativa </w:t>
      </w:r>
      <w:r w:rsidR="00056B24">
        <w:t xml:space="preserve">in commento </w:t>
      </w:r>
      <w:r>
        <w:t xml:space="preserve">viene </w:t>
      </w:r>
      <w:r w:rsidR="001430AA">
        <w:t xml:space="preserve">di fatto </w:t>
      </w:r>
      <w:r>
        <w:t xml:space="preserve">allargata l’ipotesi di esenzione riservata alle insegne che contraddistinguono le sedi di esercizio, </w:t>
      </w:r>
      <w:r w:rsidR="00056B24">
        <w:t xml:space="preserve">andando a </w:t>
      </w:r>
      <w:r>
        <w:t>coinvolge</w:t>
      </w:r>
      <w:r w:rsidR="00056B24">
        <w:t>re</w:t>
      </w:r>
      <w:r>
        <w:t xml:space="preserve"> le targhe, quale tipologia di mezzo pubblicitario</w:t>
      </w:r>
      <w:r w:rsidR="00BF1F72">
        <w:t>,</w:t>
      </w:r>
      <w:r>
        <w:t xml:space="preserve"> e i cantieri </w:t>
      </w:r>
      <w:r w:rsidR="00056B24">
        <w:t>quali</w:t>
      </w:r>
      <w:r>
        <w:t xml:space="preserve"> luog</w:t>
      </w:r>
      <w:r w:rsidR="00056B24">
        <w:t>hi</w:t>
      </w:r>
      <w:r>
        <w:t xml:space="preserve"> fisic</w:t>
      </w:r>
      <w:r w:rsidR="00056B24">
        <w:t>i</w:t>
      </w:r>
      <w:r>
        <w:t xml:space="preserve"> meritevole di beneficiare dell’agevolazione.</w:t>
      </w:r>
    </w:p>
    <w:p w14:paraId="7FB9D823" w14:textId="3A9901F4" w:rsidR="002A5CEF" w:rsidRDefault="00BF1F72" w:rsidP="0061460A">
      <w:pPr>
        <w:jc w:val="both"/>
      </w:pPr>
      <w:r>
        <w:t>L’inserimento dell</w:t>
      </w:r>
      <w:r w:rsidR="006B7AC2">
        <w:t xml:space="preserve">e </w:t>
      </w:r>
      <w:r w:rsidR="00870801" w:rsidRPr="006B7AC2">
        <w:rPr>
          <w:i/>
          <w:iCs/>
        </w:rPr>
        <w:t>targhe</w:t>
      </w:r>
      <w:r w:rsidR="006B7AC2">
        <w:rPr>
          <w:i/>
          <w:iCs/>
        </w:rPr>
        <w:t xml:space="preserve"> </w:t>
      </w:r>
      <w:r w:rsidR="006B7AC2">
        <w:t>quale mezzo atto alla diffusione pubblicitaria con caratteristiche di insegna d’esercizio quando poste presso la sede di un’attività, non trova effetti pratici nell’applicare la speciale esenzione disposta dal Legislatore alla lettera L del comma 833.</w:t>
      </w:r>
    </w:p>
    <w:p w14:paraId="3A77F8E8" w14:textId="249D4CEB" w:rsidR="001430AA" w:rsidRDefault="00056B24" w:rsidP="001430AA">
      <w:pPr>
        <w:jc w:val="both"/>
        <w:rPr>
          <w:i/>
          <w:iCs/>
        </w:rPr>
      </w:pPr>
      <w:r>
        <w:t>Infatti, i</w:t>
      </w:r>
      <w:r w:rsidR="001430AA" w:rsidRPr="001430AA">
        <w:t>n base al comma 6 dell'art. 2-bis della legge n. 75 del 2002, si defini</w:t>
      </w:r>
      <w:r>
        <w:t>sce</w:t>
      </w:r>
      <w:r w:rsidR="001430AA" w:rsidRPr="001430AA">
        <w:t xml:space="preserve"> "insegna di esercizio" la scritta di cui all'art. 47 del Regolamento di esecuzione e di attuazione del nuovo codice della strada, approvato con del D.P.R. 16 dicembre 1992, n. 495, vale a dire </w:t>
      </w:r>
      <w:r w:rsidR="001430AA" w:rsidRPr="001430AA">
        <w:rPr>
          <w:i/>
          <w:iCs/>
        </w:rPr>
        <w:t xml:space="preserve">"la scritta in caratteri alfanumerici, completata eventualmente da simboli o da marchi, realizzata e supportata con materiali di qualsiasi natura, installata nella sede dell'attività a cui si riferisce o nelle pertinenze accessorie alla stessa. Può essere luminosa sia per luce propria che per luce indiretta”. </w:t>
      </w:r>
      <w:r w:rsidR="001430AA" w:rsidRPr="001430AA">
        <w:t xml:space="preserve">Veniva precisato ulteriormente che detta scritta deve avere </w:t>
      </w:r>
      <w:r w:rsidR="001430AA" w:rsidRPr="001430AA">
        <w:rPr>
          <w:i/>
          <w:iCs/>
        </w:rPr>
        <w:t xml:space="preserve">"la funzione di indicare al pubblico il luogo di svolgimento dell'attività economica". </w:t>
      </w:r>
    </w:p>
    <w:p w14:paraId="1EE949AA" w14:textId="4DB71FD8" w:rsidR="001430AA" w:rsidRPr="001430AA" w:rsidRDefault="001430AA" w:rsidP="001430AA">
      <w:pPr>
        <w:jc w:val="both"/>
      </w:pPr>
      <w:r>
        <w:t>Ecco che in base a questa definizione, l’aver specificato che le targhe rientrano nell’ipotesi agevolativa della lettera L del comma 833 è di fatto ininfluente. Le targhe</w:t>
      </w:r>
      <w:r w:rsidR="00B32BE7">
        <w:t>,</w:t>
      </w:r>
      <w:r>
        <w:t xml:space="preserve"> come qualunque altro forma di diffusione</w:t>
      </w:r>
      <w:r w:rsidR="00B32BE7">
        <w:t>,</w:t>
      </w:r>
      <w:r>
        <w:t xml:space="preserve"> assume le caratteristiche di insegna d’esercizio quando </w:t>
      </w:r>
      <w:r w:rsidR="00B32BE7">
        <w:t xml:space="preserve">viene </w:t>
      </w:r>
      <w:r w:rsidR="00B32BE7" w:rsidRPr="00B32BE7">
        <w:t>installata nella sede dell'attività a cui si riferisce o nelle pertinenze accessorie alla stessa</w:t>
      </w:r>
      <w:r w:rsidR="00B32BE7">
        <w:t xml:space="preserve"> e svolge le funzioni di identificazione dei locali in cui viene esercitata un’attività.</w:t>
      </w:r>
    </w:p>
    <w:p w14:paraId="07155DB9" w14:textId="2794AFD4" w:rsidR="006B7AC2" w:rsidRDefault="001430AA" w:rsidP="001430AA">
      <w:pPr>
        <w:jc w:val="both"/>
      </w:pPr>
      <w:r w:rsidRPr="001430AA">
        <w:lastRenderedPageBreak/>
        <w:t>Il concetto di funzione dedicata all’indicazione al pubblico del luogo di svolgimento dell’attività tipico delle insegne d’esercizio fu già chiarito con la circolare del Ministero delle Finanze n.3/DPF del 3 maggio 2002 quando affrontò la tematica in ordine alle attività economiche svolte in franchising.</w:t>
      </w:r>
    </w:p>
    <w:p w14:paraId="0CE85F62" w14:textId="00BBCD77" w:rsidR="00B32BE7" w:rsidRDefault="00B32BE7" w:rsidP="00B32BE7">
      <w:pPr>
        <w:jc w:val="both"/>
        <w:rPr>
          <w:i/>
          <w:iCs/>
        </w:rPr>
      </w:pPr>
      <w:r>
        <w:t>Per definire</w:t>
      </w:r>
      <w:r w:rsidR="00056B24">
        <w:t xml:space="preserve"> meglio</w:t>
      </w:r>
      <w:r>
        <w:t xml:space="preserve"> il confine tra un’insegna d’esercizio, rappresentata da una targa o da un cartello o altra forma di diffusione, e un </w:t>
      </w:r>
      <w:r w:rsidRPr="00B32BE7">
        <w:t>mezzo pubblicitario</w:t>
      </w:r>
      <w:r>
        <w:t xml:space="preserve">, possiamo </w:t>
      </w:r>
      <w:r w:rsidR="00056B24">
        <w:t>rifarci</w:t>
      </w:r>
      <w:r>
        <w:t xml:space="preserve"> </w:t>
      </w:r>
      <w:r w:rsidR="00056B24">
        <w:t xml:space="preserve">a </w:t>
      </w:r>
      <w:r>
        <w:t xml:space="preserve">quanto scritto in una recente sentenza della </w:t>
      </w:r>
      <w:r w:rsidRPr="00B32BE7">
        <w:t xml:space="preserve"> Corte Regionale del Piemonte</w:t>
      </w:r>
      <w:r>
        <w:t xml:space="preserve"> dove si </w:t>
      </w:r>
      <w:r w:rsidR="00056B24">
        <w:t>legge</w:t>
      </w:r>
      <w:r w:rsidRPr="00B32BE7">
        <w:t xml:space="preserve">: </w:t>
      </w:r>
      <w:r w:rsidRPr="00B32BE7">
        <w:rPr>
          <w:i/>
          <w:iCs/>
        </w:rPr>
        <w:t>“Lo scopo dell’insegna di esercizio, invece, è solo quello di segnalare il luogo ove si esercita l’attività di impresa, con una funzione non propagandistica ma di mera indicazione stradale e di dislocazione locale.”</w:t>
      </w:r>
    </w:p>
    <w:p w14:paraId="3460C607" w14:textId="317F5A2B" w:rsidR="00B32BE7" w:rsidRDefault="00B32BE7" w:rsidP="00B32BE7">
      <w:pPr>
        <w:jc w:val="both"/>
      </w:pPr>
      <w:r w:rsidRPr="00B32BE7">
        <w:t>Secondo i giudici tributari non è possibile riconoscere carattere di "insegna di esercizio" al materiale pubblicitario che viene esposto quando si tratta di mezzi di comunicazione con il pubblico obiettivamente idonei a far conoscere indiscriminatamente alla massa indeterminata di possibili acquirenti o utenti il nome, l'attività della impresa e, come tale, assoggettata a tassazione. I mezzi pubblicitari diversi dalle insegne d’esercizio, costituiscono un messaggio pubblicitario rivolto ai potenziali consumatori e volto ad esaltare il prodotto, invogliando la domanda e, quindi, a reclamizzare l'attività e/o a farne conoscere la natura, la qualità o anche l'esistenza.</w:t>
      </w:r>
    </w:p>
    <w:p w14:paraId="7E51F16C" w14:textId="7719D01D" w:rsidR="00B32BE7" w:rsidRDefault="00B32BE7" w:rsidP="00B32BE7">
      <w:pPr>
        <w:jc w:val="both"/>
        <w:rPr>
          <w:i/>
          <w:iCs/>
        </w:rPr>
      </w:pPr>
      <w:r>
        <w:t xml:space="preserve">Partendo da questo assunto possiamo commentare la seconda parte della modifica introdotta alla lettera L del comma 833, ovvero quella parte relativa all’esenzione riconosciuta presso il </w:t>
      </w:r>
      <w:r w:rsidRPr="00B32BE7">
        <w:rPr>
          <w:i/>
          <w:iCs/>
        </w:rPr>
        <w:t>cantier</w:t>
      </w:r>
      <w:r>
        <w:rPr>
          <w:i/>
          <w:iCs/>
        </w:rPr>
        <w:t xml:space="preserve">e </w:t>
      </w:r>
      <w:r w:rsidRPr="00B32BE7">
        <w:rPr>
          <w:i/>
          <w:iCs/>
        </w:rPr>
        <w:t>ove si svolge l'attività cui si riferiscono</w:t>
      </w:r>
      <w:r>
        <w:rPr>
          <w:i/>
          <w:iCs/>
        </w:rPr>
        <w:t>.</w:t>
      </w:r>
    </w:p>
    <w:p w14:paraId="4154CEFA" w14:textId="60490D2D" w:rsidR="007A4B14" w:rsidRDefault="00B32BE7" w:rsidP="00B32BE7">
      <w:pPr>
        <w:jc w:val="both"/>
      </w:pPr>
      <w:r>
        <w:t xml:space="preserve">La vera novità, che </w:t>
      </w:r>
      <w:r w:rsidR="002B2880">
        <w:t xml:space="preserve">in qualche modo </w:t>
      </w:r>
      <w:r w:rsidR="00D91DA1">
        <w:t>andrà ad incidere</w:t>
      </w:r>
      <w:r>
        <w:t xml:space="preserve"> sulla gestione e sul gettito</w:t>
      </w:r>
      <w:r w:rsidR="002B2880">
        <w:t xml:space="preserve"> dell’entrata dedicata alle iniziative pubblicitarie e alle occupazioni di suolo pubblico</w:t>
      </w:r>
      <w:r>
        <w:t xml:space="preserve">, seppur in misura marginale nel complesso e variegato mondo del CUP, riguarda proprio la scelta di considerare insegna d’esercizio </w:t>
      </w:r>
      <w:r w:rsidR="002B2880">
        <w:t xml:space="preserve">anche le insegne identificative una azienda quando </w:t>
      </w:r>
      <w:r>
        <w:t>espost</w:t>
      </w:r>
      <w:r w:rsidR="002B2880">
        <w:t>e</w:t>
      </w:r>
      <w:r>
        <w:t xml:space="preserve"> presso i cantieri. Scelta che evidentemente deriva dalla spinta di alcune categorie che avevano </w:t>
      </w:r>
      <w:r w:rsidR="002B2880">
        <w:t xml:space="preserve">in passato </w:t>
      </w:r>
      <w:r>
        <w:t xml:space="preserve">intrapreso contenziosi con i Comuni in relazione </w:t>
      </w:r>
      <w:r w:rsidR="002B2880">
        <w:t xml:space="preserve">proprio </w:t>
      </w:r>
      <w:r>
        <w:t>ad esposizioni di striscioni e cartelli presso i cantieri edili. Diffusioni pubblicitarie che, rivolgendosi ad una amplia platea, reclamizzavano la</w:t>
      </w:r>
      <w:r w:rsidR="007A4B14">
        <w:t xml:space="preserve"> propria attività avvisando in modo autoreferenziale che </w:t>
      </w:r>
      <w:r>
        <w:t xml:space="preserve">prestavano il proprio lavoro presso </w:t>
      </w:r>
      <w:r w:rsidR="007A4B14">
        <w:t>quel</w:t>
      </w:r>
      <w:r>
        <w:t xml:space="preserve"> cantiere. </w:t>
      </w:r>
      <w:r w:rsidR="007A4B14">
        <w:t>Una forma di propaganda</w:t>
      </w:r>
      <w:r w:rsidR="002B2880">
        <w:t xml:space="preserve"> e di miglioramento della propria immagine </w:t>
      </w:r>
      <w:r w:rsidR="007A4B14">
        <w:t>neppure troppo velata.</w:t>
      </w:r>
    </w:p>
    <w:p w14:paraId="4163BA22" w14:textId="3C4B8344" w:rsidR="00B32BE7" w:rsidRDefault="007A4B14" w:rsidP="00B32BE7">
      <w:pPr>
        <w:jc w:val="both"/>
      </w:pPr>
      <w:r>
        <w:t xml:space="preserve">Oggi, alla luce della modifica normativa, si dovrà </w:t>
      </w:r>
      <w:r w:rsidR="002B2880">
        <w:t xml:space="preserve">così </w:t>
      </w:r>
      <w:r>
        <w:t xml:space="preserve">valutare le esposizioni </w:t>
      </w:r>
      <w:r w:rsidR="002B2880">
        <w:t xml:space="preserve">realizzate </w:t>
      </w:r>
      <w:r>
        <w:t>presso un cantiere dove l’azienda di turno svolge la sua attività</w:t>
      </w:r>
      <w:r w:rsidR="002B2880">
        <w:t xml:space="preserve">. Si dovrà considerare se queste </w:t>
      </w:r>
      <w:r>
        <w:t xml:space="preserve">rappresentano insegna d’esercizio </w:t>
      </w:r>
      <w:r w:rsidR="002B2880">
        <w:t xml:space="preserve">oppure </w:t>
      </w:r>
      <w:r>
        <w:t>hanno solo contenuto reclamistico. Una valutazione non semplice</w:t>
      </w:r>
      <w:r w:rsidR="002B2880">
        <w:t xml:space="preserve">, resa complicata </w:t>
      </w:r>
      <w:r>
        <w:t xml:space="preserve">dalla identificazione del luogo di esposizione. </w:t>
      </w:r>
    </w:p>
    <w:p w14:paraId="6B1D68CD" w14:textId="06499A0A" w:rsidR="007A4B14" w:rsidRDefault="002B2880" w:rsidP="00B32BE7">
      <w:pPr>
        <w:jc w:val="both"/>
      </w:pPr>
      <w:r>
        <w:t>Fino ad oggi, infatti, l</w:t>
      </w:r>
      <w:r w:rsidR="007A4B14">
        <w:t>a valutazione se un luogo di esposizione</w:t>
      </w:r>
      <w:r>
        <w:t xml:space="preserve"> di un’insegna d’esercizio</w:t>
      </w:r>
      <w:r w:rsidR="007A4B14">
        <w:t xml:space="preserve"> </w:t>
      </w:r>
      <w:r>
        <w:t>era</w:t>
      </w:r>
      <w:r w:rsidR="007A4B14">
        <w:t xml:space="preserve"> da considerarsi come sede o unità locale di un’azienda</w:t>
      </w:r>
      <w:r>
        <w:t xml:space="preserve"> veniva </w:t>
      </w:r>
      <w:r w:rsidR="007A4B14">
        <w:t xml:space="preserve">demandata alla visura camerale dalla quale evincere proprio </w:t>
      </w:r>
      <w:r w:rsidR="008172EB">
        <w:t>i luoghi</w:t>
      </w:r>
      <w:r w:rsidR="007A4B14">
        <w:t xml:space="preserve"> dove viene esercitata l</w:t>
      </w:r>
      <w:r>
        <w:t>’</w:t>
      </w:r>
      <w:r w:rsidR="007A4B14">
        <w:t>attività. Oggi, coinvolgere i cantieri come luoghi di esposizione di un’insegna d’esercizio, presta il fianco a pericolose interpretazioni alla</w:t>
      </w:r>
      <w:r>
        <w:t>r</w:t>
      </w:r>
      <w:r w:rsidR="007A4B14">
        <w:t>gando le possibili richieste agevolative a favore di un’ampia platea di contribuenti.</w:t>
      </w:r>
    </w:p>
    <w:p w14:paraId="6E577EE1" w14:textId="1E0B9596" w:rsidR="00A5275C" w:rsidRDefault="00A5275C" w:rsidP="00B32BE7">
      <w:pPr>
        <w:jc w:val="both"/>
      </w:pPr>
      <w:r>
        <w:t>L’idraulico, l’elettricista, il falegname, la ditta edile, ecc.. che intervengono nei cantieri edili ed espongono sull’impalcatura il proprio striscione identificativo potranno</w:t>
      </w:r>
      <w:r w:rsidR="002B2880">
        <w:t>, grazie alla modifica normativa,</w:t>
      </w:r>
      <w:r>
        <w:t xml:space="preserve"> godere dell’agevolazione disposta </w:t>
      </w:r>
      <w:r w:rsidR="002B2880">
        <w:t xml:space="preserve">dalla nuova versione </w:t>
      </w:r>
      <w:r>
        <w:t xml:space="preserve">della lettera L del comma 833? </w:t>
      </w:r>
      <w:r w:rsidR="002B2880">
        <w:t>Forse</w:t>
      </w:r>
      <w:r>
        <w:t xml:space="preserve"> si, anche se </w:t>
      </w:r>
      <w:r w:rsidR="002B2880">
        <w:t>andrà</w:t>
      </w:r>
      <w:r>
        <w:t xml:space="preserve"> tracciato un confine che tenga comunque distinte </w:t>
      </w:r>
      <w:r w:rsidR="002B2880">
        <w:t xml:space="preserve">quelle che sono </w:t>
      </w:r>
      <w:r>
        <w:t xml:space="preserve">le iniziative pubblicitarie con </w:t>
      </w:r>
      <w:r w:rsidR="002B2880">
        <w:t xml:space="preserve">le sole </w:t>
      </w:r>
      <w:r>
        <w:t>indicazion</w:t>
      </w:r>
      <w:r w:rsidR="002B2880">
        <w:t>i</w:t>
      </w:r>
      <w:r>
        <w:t xml:space="preserve"> del luogo di attività dell’azienda.</w:t>
      </w:r>
    </w:p>
    <w:p w14:paraId="7925D713" w14:textId="73C1C27A" w:rsidR="00A5275C" w:rsidRDefault="00A5275C" w:rsidP="00B32BE7">
      <w:pPr>
        <w:jc w:val="both"/>
      </w:pPr>
      <w:r>
        <w:t>Serviranno interpretazioni puntali che porteranno</w:t>
      </w:r>
      <w:r w:rsidR="002B2880">
        <w:t xml:space="preserve"> certamente</w:t>
      </w:r>
      <w:r>
        <w:t xml:space="preserve"> a nuovi contenziosi e a richieste di parte che si spingeranno sempre più in una direzione di esenzione per qualunque iniziativa pubblicitaria che </w:t>
      </w:r>
      <w:r w:rsidR="002B2880">
        <w:t>andrà a sfruttare</w:t>
      </w:r>
      <w:r>
        <w:t xml:space="preserve"> le pareti dei cantieri visibili da luogo pubblico o aperto al pubblico.</w:t>
      </w:r>
    </w:p>
    <w:p w14:paraId="07FB4FD0" w14:textId="180F65B0" w:rsidR="00A5275C" w:rsidRPr="00B32BE7" w:rsidRDefault="002B2880" w:rsidP="00B32BE7">
      <w:pPr>
        <w:jc w:val="both"/>
      </w:pPr>
      <w:r>
        <w:lastRenderedPageBreak/>
        <w:t>Fenomeno che si inserisce i</w:t>
      </w:r>
      <w:r w:rsidR="00A5275C">
        <w:t xml:space="preserve">n un settore di esposizioni pubblicitarie già di difficile gestione, caratterizzato da esposizioni precarie e temporanee spesso esposte dalle ditte senza alcun titolo autorizzativo in posizioni non previste dai Piani </w:t>
      </w:r>
      <w:r>
        <w:t>G</w:t>
      </w:r>
      <w:r w:rsidR="00A5275C">
        <w:t xml:space="preserve">enerali degli impianti </w:t>
      </w:r>
      <w:r>
        <w:t>P</w:t>
      </w:r>
      <w:r w:rsidR="00A5275C">
        <w:t>ubblicitari o in qualche modo esposti in modo difforme rispetto alle prescrizioni del Codice della Strada</w:t>
      </w:r>
      <w:r>
        <w:t>. In questo senso</w:t>
      </w:r>
      <w:r w:rsidR="00A5275C">
        <w:t xml:space="preserve"> sarà ancor più complicato garantire il rispetto delle procedure autorizzatorie e </w:t>
      </w:r>
      <w:r>
        <w:t>i</w:t>
      </w:r>
      <w:r w:rsidR="00A5275C">
        <w:t>l giusto pagamento del Canone Unico per la sua componente pubblicitaria.</w:t>
      </w:r>
    </w:p>
    <w:p w14:paraId="06D0DDDC" w14:textId="77777777" w:rsidR="00B32BE7" w:rsidRPr="006B7AC2" w:rsidRDefault="00B32BE7" w:rsidP="00B32BE7">
      <w:pPr>
        <w:jc w:val="both"/>
      </w:pPr>
    </w:p>
    <w:p w14:paraId="1EE814B6" w14:textId="77777777" w:rsidR="00870801" w:rsidRDefault="00870801" w:rsidP="0061460A">
      <w:pPr>
        <w:jc w:val="both"/>
      </w:pPr>
    </w:p>
    <w:p w14:paraId="708CD5BF" w14:textId="77777777" w:rsidR="00FB476B" w:rsidRPr="00AE2126" w:rsidRDefault="00FB476B" w:rsidP="0061460A">
      <w:pPr>
        <w:jc w:val="both"/>
      </w:pPr>
    </w:p>
    <w:p w14:paraId="5DA69B5E" w14:textId="77777777" w:rsidR="009E127E" w:rsidRPr="009E127E" w:rsidRDefault="009E127E" w:rsidP="0061460A">
      <w:pPr>
        <w:jc w:val="both"/>
      </w:pPr>
    </w:p>
    <w:p w14:paraId="05EDC3AE" w14:textId="77777777" w:rsidR="007A354F" w:rsidRPr="0061460A" w:rsidRDefault="007A354F" w:rsidP="0061460A">
      <w:pPr>
        <w:jc w:val="both"/>
      </w:pPr>
    </w:p>
    <w:p w14:paraId="1136D17D" w14:textId="77777777" w:rsidR="0061460A" w:rsidRDefault="0061460A"/>
    <w:sectPr w:rsidR="0061460A">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4C82"/>
    <w:rsid w:val="00056B24"/>
    <w:rsid w:val="00060149"/>
    <w:rsid w:val="001430AA"/>
    <w:rsid w:val="002A5CEF"/>
    <w:rsid w:val="002B2880"/>
    <w:rsid w:val="00426F43"/>
    <w:rsid w:val="005B73E2"/>
    <w:rsid w:val="0061460A"/>
    <w:rsid w:val="006B7AC2"/>
    <w:rsid w:val="00725522"/>
    <w:rsid w:val="007A354F"/>
    <w:rsid w:val="007A4B14"/>
    <w:rsid w:val="007B1496"/>
    <w:rsid w:val="008172EB"/>
    <w:rsid w:val="00842C4B"/>
    <w:rsid w:val="00870801"/>
    <w:rsid w:val="008E3010"/>
    <w:rsid w:val="009D4C82"/>
    <w:rsid w:val="009E127E"/>
    <w:rsid w:val="00A5275C"/>
    <w:rsid w:val="00AE2126"/>
    <w:rsid w:val="00B32BE7"/>
    <w:rsid w:val="00BA2FA0"/>
    <w:rsid w:val="00BC66E4"/>
    <w:rsid w:val="00BF1F72"/>
    <w:rsid w:val="00D91DA1"/>
    <w:rsid w:val="00FB476B"/>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434FB5"/>
  <w15:chartTrackingRefBased/>
  <w15:docId w15:val="{31C58351-2B06-438F-8619-9090BE3105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9D4C8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olo2">
    <w:name w:val="heading 2"/>
    <w:basedOn w:val="Normale"/>
    <w:next w:val="Normale"/>
    <w:link w:val="Titolo2Carattere"/>
    <w:uiPriority w:val="9"/>
    <w:semiHidden/>
    <w:unhideWhenUsed/>
    <w:qFormat/>
    <w:rsid w:val="009D4C8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olo3">
    <w:name w:val="heading 3"/>
    <w:basedOn w:val="Normale"/>
    <w:next w:val="Normale"/>
    <w:link w:val="Titolo3Carattere"/>
    <w:uiPriority w:val="9"/>
    <w:semiHidden/>
    <w:unhideWhenUsed/>
    <w:qFormat/>
    <w:rsid w:val="009D4C82"/>
    <w:pPr>
      <w:keepNext/>
      <w:keepLines/>
      <w:spacing w:before="160" w:after="80"/>
      <w:outlineLvl w:val="2"/>
    </w:pPr>
    <w:rPr>
      <w:rFonts w:eastAsiaTheme="majorEastAsia" w:cstheme="majorBidi"/>
      <w:color w:val="2F5496" w:themeColor="accent1" w:themeShade="BF"/>
      <w:sz w:val="28"/>
      <w:szCs w:val="28"/>
    </w:rPr>
  </w:style>
  <w:style w:type="paragraph" w:styleId="Titolo4">
    <w:name w:val="heading 4"/>
    <w:basedOn w:val="Normale"/>
    <w:next w:val="Normale"/>
    <w:link w:val="Titolo4Carattere"/>
    <w:uiPriority w:val="9"/>
    <w:semiHidden/>
    <w:unhideWhenUsed/>
    <w:qFormat/>
    <w:rsid w:val="009D4C82"/>
    <w:pPr>
      <w:keepNext/>
      <w:keepLines/>
      <w:spacing w:before="80" w:after="40"/>
      <w:outlineLvl w:val="3"/>
    </w:pPr>
    <w:rPr>
      <w:rFonts w:eastAsiaTheme="majorEastAsia" w:cstheme="majorBidi"/>
      <w:i/>
      <w:iCs/>
      <w:color w:val="2F5496" w:themeColor="accent1" w:themeShade="BF"/>
    </w:rPr>
  </w:style>
  <w:style w:type="paragraph" w:styleId="Titolo5">
    <w:name w:val="heading 5"/>
    <w:basedOn w:val="Normale"/>
    <w:next w:val="Normale"/>
    <w:link w:val="Titolo5Carattere"/>
    <w:uiPriority w:val="9"/>
    <w:semiHidden/>
    <w:unhideWhenUsed/>
    <w:qFormat/>
    <w:rsid w:val="009D4C82"/>
    <w:pPr>
      <w:keepNext/>
      <w:keepLines/>
      <w:spacing w:before="80" w:after="40"/>
      <w:outlineLvl w:val="4"/>
    </w:pPr>
    <w:rPr>
      <w:rFonts w:eastAsiaTheme="majorEastAsia" w:cstheme="majorBidi"/>
      <w:color w:val="2F5496" w:themeColor="accent1" w:themeShade="BF"/>
    </w:rPr>
  </w:style>
  <w:style w:type="paragraph" w:styleId="Titolo6">
    <w:name w:val="heading 6"/>
    <w:basedOn w:val="Normale"/>
    <w:next w:val="Normale"/>
    <w:link w:val="Titolo6Carattere"/>
    <w:uiPriority w:val="9"/>
    <w:semiHidden/>
    <w:unhideWhenUsed/>
    <w:qFormat/>
    <w:rsid w:val="009D4C82"/>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9D4C82"/>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9D4C82"/>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9D4C82"/>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9D4C82"/>
    <w:rPr>
      <w:rFonts w:asciiTheme="majorHAnsi" w:eastAsiaTheme="majorEastAsia" w:hAnsiTheme="majorHAnsi" w:cstheme="majorBidi"/>
      <w:color w:val="2F5496" w:themeColor="accent1" w:themeShade="BF"/>
      <w:sz w:val="40"/>
      <w:szCs w:val="40"/>
    </w:rPr>
  </w:style>
  <w:style w:type="character" w:customStyle="1" w:styleId="Titolo2Carattere">
    <w:name w:val="Titolo 2 Carattere"/>
    <w:basedOn w:val="Carpredefinitoparagrafo"/>
    <w:link w:val="Titolo2"/>
    <w:uiPriority w:val="9"/>
    <w:semiHidden/>
    <w:rsid w:val="009D4C82"/>
    <w:rPr>
      <w:rFonts w:asciiTheme="majorHAnsi" w:eastAsiaTheme="majorEastAsia" w:hAnsiTheme="majorHAnsi" w:cstheme="majorBidi"/>
      <w:color w:val="2F5496" w:themeColor="accent1" w:themeShade="BF"/>
      <w:sz w:val="32"/>
      <w:szCs w:val="32"/>
    </w:rPr>
  </w:style>
  <w:style w:type="character" w:customStyle="1" w:styleId="Titolo3Carattere">
    <w:name w:val="Titolo 3 Carattere"/>
    <w:basedOn w:val="Carpredefinitoparagrafo"/>
    <w:link w:val="Titolo3"/>
    <w:uiPriority w:val="9"/>
    <w:semiHidden/>
    <w:rsid w:val="009D4C82"/>
    <w:rPr>
      <w:rFonts w:eastAsiaTheme="majorEastAsia" w:cstheme="majorBidi"/>
      <w:color w:val="2F5496" w:themeColor="accent1" w:themeShade="BF"/>
      <w:sz w:val="28"/>
      <w:szCs w:val="28"/>
    </w:rPr>
  </w:style>
  <w:style w:type="character" w:customStyle="1" w:styleId="Titolo4Carattere">
    <w:name w:val="Titolo 4 Carattere"/>
    <w:basedOn w:val="Carpredefinitoparagrafo"/>
    <w:link w:val="Titolo4"/>
    <w:uiPriority w:val="9"/>
    <w:semiHidden/>
    <w:rsid w:val="009D4C82"/>
    <w:rPr>
      <w:rFonts w:eastAsiaTheme="majorEastAsia" w:cstheme="majorBidi"/>
      <w:i/>
      <w:iCs/>
      <w:color w:val="2F5496" w:themeColor="accent1" w:themeShade="BF"/>
    </w:rPr>
  </w:style>
  <w:style w:type="character" w:customStyle="1" w:styleId="Titolo5Carattere">
    <w:name w:val="Titolo 5 Carattere"/>
    <w:basedOn w:val="Carpredefinitoparagrafo"/>
    <w:link w:val="Titolo5"/>
    <w:uiPriority w:val="9"/>
    <w:semiHidden/>
    <w:rsid w:val="009D4C82"/>
    <w:rPr>
      <w:rFonts w:eastAsiaTheme="majorEastAsia" w:cstheme="majorBidi"/>
      <w:color w:val="2F5496" w:themeColor="accent1" w:themeShade="BF"/>
    </w:rPr>
  </w:style>
  <w:style w:type="character" w:customStyle="1" w:styleId="Titolo6Carattere">
    <w:name w:val="Titolo 6 Carattere"/>
    <w:basedOn w:val="Carpredefinitoparagrafo"/>
    <w:link w:val="Titolo6"/>
    <w:uiPriority w:val="9"/>
    <w:semiHidden/>
    <w:rsid w:val="009D4C82"/>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9D4C82"/>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9D4C82"/>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9D4C82"/>
    <w:rPr>
      <w:rFonts w:eastAsiaTheme="majorEastAsia" w:cstheme="majorBidi"/>
      <w:color w:val="272727" w:themeColor="text1" w:themeTint="D8"/>
    </w:rPr>
  </w:style>
  <w:style w:type="paragraph" w:styleId="Titolo">
    <w:name w:val="Title"/>
    <w:basedOn w:val="Normale"/>
    <w:next w:val="Normale"/>
    <w:link w:val="TitoloCarattere"/>
    <w:uiPriority w:val="10"/>
    <w:qFormat/>
    <w:rsid w:val="009D4C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9D4C82"/>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9D4C82"/>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9D4C82"/>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9D4C82"/>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9D4C82"/>
    <w:rPr>
      <w:i/>
      <w:iCs/>
      <w:color w:val="404040" w:themeColor="text1" w:themeTint="BF"/>
    </w:rPr>
  </w:style>
  <w:style w:type="paragraph" w:styleId="Paragrafoelenco">
    <w:name w:val="List Paragraph"/>
    <w:basedOn w:val="Normale"/>
    <w:uiPriority w:val="34"/>
    <w:qFormat/>
    <w:rsid w:val="009D4C82"/>
    <w:pPr>
      <w:ind w:left="720"/>
      <w:contextualSpacing/>
    </w:pPr>
  </w:style>
  <w:style w:type="character" w:styleId="Enfasiintensa">
    <w:name w:val="Intense Emphasis"/>
    <w:basedOn w:val="Carpredefinitoparagrafo"/>
    <w:uiPriority w:val="21"/>
    <w:qFormat/>
    <w:rsid w:val="009D4C82"/>
    <w:rPr>
      <w:i/>
      <w:iCs/>
      <w:color w:val="2F5496" w:themeColor="accent1" w:themeShade="BF"/>
    </w:rPr>
  </w:style>
  <w:style w:type="paragraph" w:styleId="Citazioneintensa">
    <w:name w:val="Intense Quote"/>
    <w:basedOn w:val="Normale"/>
    <w:next w:val="Normale"/>
    <w:link w:val="CitazioneintensaCarattere"/>
    <w:uiPriority w:val="30"/>
    <w:qFormat/>
    <w:rsid w:val="009D4C8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zioneintensaCarattere">
    <w:name w:val="Citazione intensa Carattere"/>
    <w:basedOn w:val="Carpredefinitoparagrafo"/>
    <w:link w:val="Citazioneintensa"/>
    <w:uiPriority w:val="30"/>
    <w:rsid w:val="009D4C82"/>
    <w:rPr>
      <w:i/>
      <w:iCs/>
      <w:color w:val="2F5496" w:themeColor="accent1" w:themeShade="BF"/>
    </w:rPr>
  </w:style>
  <w:style w:type="character" w:styleId="Riferimentointenso">
    <w:name w:val="Intense Reference"/>
    <w:basedOn w:val="Carpredefinitoparagrafo"/>
    <w:uiPriority w:val="32"/>
    <w:qFormat/>
    <w:rsid w:val="009D4C8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523</TotalTime>
  <Pages>3</Pages>
  <Words>1284</Words>
  <Characters>7323</Characters>
  <Application>Microsoft Office Word</Application>
  <DocSecurity>0</DocSecurity>
  <Lines>61</Lines>
  <Paragraphs>17</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8590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alessandro merciari</dc:creator>
  <cp:keywords/>
  <dc:description/>
  <cp:lastModifiedBy>alessandro merciari</cp:lastModifiedBy>
  <cp:revision>14</cp:revision>
  <dcterms:created xsi:type="dcterms:W3CDTF">2025-12-09T11:39:00Z</dcterms:created>
  <dcterms:modified xsi:type="dcterms:W3CDTF">2025-12-12T14:24:00Z</dcterms:modified>
</cp:coreProperties>
</file>