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7F9D" w14:textId="77777777" w:rsidR="005D72A3" w:rsidRPr="005D72A3" w:rsidRDefault="005D72A3" w:rsidP="005D72A3">
      <w:pPr>
        <w:pStyle w:val="Testonormale"/>
        <w:jc w:val="both"/>
        <w:rPr>
          <w:b/>
          <w:bCs/>
        </w:rPr>
      </w:pPr>
      <w:r w:rsidRPr="005D72A3">
        <w:rPr>
          <w:b/>
          <w:bCs/>
        </w:rPr>
        <w:t>QUESITO</w:t>
      </w:r>
    </w:p>
    <w:p w14:paraId="6D5A3928" w14:textId="77777777" w:rsidR="005D72A3" w:rsidRDefault="005D72A3" w:rsidP="005D72A3">
      <w:pPr>
        <w:pStyle w:val="Testonormale"/>
        <w:jc w:val="both"/>
      </w:pPr>
    </w:p>
    <w:p w14:paraId="224C8133" w14:textId="69C95F4F" w:rsidR="005D72A3" w:rsidRDefault="005D72A3" w:rsidP="005D72A3">
      <w:pPr>
        <w:pStyle w:val="Testonormale"/>
        <w:jc w:val="both"/>
      </w:pPr>
      <w:r>
        <w:t>Visto l’ART. 1 COMMA 583 DELLA LEGGE 30 DICEMBRE 2025 N. 199 (Legge di Bilancio 2026); Si chiede se un’eventuale riduzione del 100% possa essere applicata, per quanto concerne il CUP EDILE, esclusivamente alle Ditte avente SEDE LEGALE nel Comune di x, senza violare i principi della concorrenza e discriminazione.</w:t>
      </w:r>
    </w:p>
    <w:p w14:paraId="6A10BB7E" w14:textId="77777777" w:rsidR="005D72A3" w:rsidRDefault="005D72A3" w:rsidP="005D72A3">
      <w:pPr>
        <w:pStyle w:val="Testonormale"/>
        <w:jc w:val="both"/>
      </w:pPr>
    </w:p>
    <w:p w14:paraId="6C053899" w14:textId="55F788A8" w:rsidR="005D72A3" w:rsidRDefault="005D72A3" w:rsidP="005D72A3">
      <w:pPr>
        <w:pStyle w:val="Testonormale"/>
        <w:jc w:val="both"/>
      </w:pPr>
      <w:r>
        <w:t>Si ritiene sia, invece, pacifica l’applicazione della riduzione del 100% per il mercatale e le attività commerciali del Comune (dehors, pubblicità…).</w:t>
      </w:r>
    </w:p>
    <w:p w14:paraId="73ED2154" w14:textId="77777777" w:rsidR="00060149" w:rsidRDefault="00060149"/>
    <w:p w14:paraId="3E4AEC1A" w14:textId="29E665B3" w:rsidR="005D72A3" w:rsidRPr="005D72A3" w:rsidRDefault="005D72A3">
      <w:pPr>
        <w:rPr>
          <w:b/>
          <w:bCs/>
        </w:rPr>
      </w:pPr>
      <w:r w:rsidRPr="005D72A3">
        <w:rPr>
          <w:b/>
          <w:bCs/>
        </w:rPr>
        <w:t>RISPOSTA</w:t>
      </w:r>
    </w:p>
    <w:p w14:paraId="025ED302" w14:textId="58DA5562" w:rsidR="005D72A3" w:rsidRDefault="005D72A3" w:rsidP="00AB19AA">
      <w:pPr>
        <w:jc w:val="both"/>
      </w:pPr>
      <w:r w:rsidRPr="005D72A3">
        <w:t xml:space="preserve">Il quesito verte </w:t>
      </w:r>
      <w:r w:rsidR="00AB4DFB">
        <w:t>sul</w:t>
      </w:r>
      <w:r w:rsidRPr="005D72A3">
        <w:t>l’interpretazione del comma 583 della legge Finanziaria 2026</w:t>
      </w:r>
      <w:r>
        <w:t xml:space="preserve"> </w:t>
      </w:r>
      <w:r w:rsidR="00AB4DFB">
        <w:t xml:space="preserve">con particolare riferimento alla </w:t>
      </w:r>
      <w:r>
        <w:t>potestà riconosciuta agli enti locali di disciplinare nel proprio territorio delle agevolazioni in materia di Canone Unico ex comma 816 Legge 160/2019</w:t>
      </w:r>
      <w:r w:rsidR="00AB19AA">
        <w:t xml:space="preserve"> a favore di aziende aventi sedi nei territori interessati dal sisma avvenuto nel 2016</w:t>
      </w:r>
      <w:r>
        <w:t>.</w:t>
      </w:r>
    </w:p>
    <w:p w14:paraId="789D1AA6" w14:textId="008721B8" w:rsidR="005D72A3" w:rsidRPr="005D72A3" w:rsidRDefault="005D72A3" w:rsidP="005D72A3">
      <w:pPr>
        <w:jc w:val="both"/>
      </w:pPr>
      <w:r>
        <w:t>Vediamo innanzi tutto cosa prevede il comma della Legge Finanziaria:</w:t>
      </w:r>
    </w:p>
    <w:p w14:paraId="31A4ECB7" w14:textId="135EA010" w:rsidR="005D72A3" w:rsidRDefault="005D72A3" w:rsidP="005D72A3">
      <w:pPr>
        <w:jc w:val="both"/>
        <w:rPr>
          <w:i/>
          <w:iCs/>
        </w:rPr>
      </w:pPr>
      <w:r w:rsidRPr="005D72A3">
        <w:rPr>
          <w:i/>
          <w:iCs/>
        </w:rPr>
        <w:t>“583. Il Commissario straordinario di cui all'</w:t>
      </w:r>
      <w:hyperlink r:id="rId4" w:tgtFrame="_blank" w:history="1">
        <w:r w:rsidRPr="005D72A3">
          <w:rPr>
            <w:i/>
            <w:iCs/>
          </w:rPr>
          <w:t>articolo 2, comma 2, del decreto-legge 11 gennaio 2023, n. 3</w:t>
        </w:r>
      </w:hyperlink>
      <w:r w:rsidRPr="005D72A3">
        <w:rPr>
          <w:i/>
          <w:iCs/>
        </w:rPr>
        <w:t>, convertito, con modificazioni, dalla </w:t>
      </w:r>
      <w:hyperlink r:id="rId5" w:tgtFrame="_blank" w:history="1">
        <w:r w:rsidRPr="005D72A3">
          <w:rPr>
            <w:i/>
            <w:iCs/>
          </w:rPr>
          <w:t>legge 10 marzo 2023, n. 21</w:t>
        </w:r>
      </w:hyperlink>
      <w:r w:rsidRPr="005D72A3">
        <w:rPr>
          <w:i/>
          <w:iCs/>
        </w:rPr>
        <w:t>, può, con propri provvedimenti, ripartire una quota sino a 5 milioni di euro complessivi per l'anno 2026 ai comuni che adottano disposizioni per la riduzione dei canoni di cui all'</w:t>
      </w:r>
      <w:hyperlink r:id="rId6" w:tgtFrame="_blank" w:history="1">
        <w:r w:rsidRPr="005D72A3">
          <w:rPr>
            <w:i/>
            <w:iCs/>
          </w:rPr>
          <w:t>articolo 1, commi da 816</w:t>
        </w:r>
      </w:hyperlink>
      <w:r w:rsidRPr="005D72A3">
        <w:rPr>
          <w:i/>
          <w:iCs/>
        </w:rPr>
        <w:t> </w:t>
      </w:r>
      <w:hyperlink r:id="rId7" w:tgtFrame="_blank" w:history="1">
        <w:r w:rsidRPr="005D72A3">
          <w:rPr>
            <w:i/>
            <w:iCs/>
          </w:rPr>
          <w:t>a 847, della legge 27 dicembre 2019, n. 160</w:t>
        </w:r>
      </w:hyperlink>
      <w:r w:rsidRPr="005D72A3">
        <w:rPr>
          <w:i/>
          <w:iCs/>
        </w:rPr>
        <w:t>, per le attività con sede legale od operativa nei territori delle regioni Abruzzo, Lazio, Marche e Umbria interessati dagli eventi sismici verificatisi a far data dal 24 agosto 2016, ricompresi nei comuni indicati negli allegati 1, 2 e 2-bis al </w:t>
      </w:r>
      <w:hyperlink r:id="rId8" w:tgtFrame="_blank" w:history="1">
        <w:r w:rsidRPr="005D72A3">
          <w:rPr>
            <w:i/>
            <w:iCs/>
          </w:rPr>
          <w:t>decreto-legge 17 ottobre 2016, n. 189</w:t>
        </w:r>
      </w:hyperlink>
      <w:r w:rsidRPr="005D72A3">
        <w:rPr>
          <w:i/>
          <w:iCs/>
        </w:rPr>
        <w:t>, convertito, con modificazioni, dalla </w:t>
      </w:r>
      <w:hyperlink r:id="rId9" w:tgtFrame="_blank" w:history="1">
        <w:r w:rsidRPr="005D72A3">
          <w:rPr>
            <w:i/>
            <w:iCs/>
          </w:rPr>
          <w:t>legge 15 dicembre 2016, n. 229</w:t>
        </w:r>
      </w:hyperlink>
      <w:r w:rsidRPr="005D72A3">
        <w:rPr>
          <w:i/>
          <w:iCs/>
        </w:rPr>
        <w:t>.</w:t>
      </w:r>
      <w:r w:rsidRPr="005D72A3">
        <w:rPr>
          <w:i/>
          <w:iCs/>
        </w:rPr>
        <w:br/>
        <w:t>Ai fini dell'attuazione del presente comma è autorizzata la spesa di 5 milioni di euro per l'anno 2026, che costituisce limite di spesa.”</w:t>
      </w:r>
    </w:p>
    <w:p w14:paraId="1CAEF5B6" w14:textId="1E28880A" w:rsidR="00AB4DFB" w:rsidRDefault="00AB4DFB" w:rsidP="005D72A3">
      <w:pPr>
        <w:jc w:val="both"/>
      </w:pPr>
      <w:r>
        <w:t>Vengono stanziati 5 milioni di euro (inteso come limite di spesa) a favore di quei Comuni che nel 2026 adotteranno riduzioni CUP e/o Canone Mercatale a favore di attività economiche con sede legale o operativa nei comuni terremotati di Abruzzo, Lazio, Marche e Umbria.</w:t>
      </w:r>
    </w:p>
    <w:p w14:paraId="70FE6BEB" w14:textId="5B302F08" w:rsidR="00B13217" w:rsidRDefault="00AB4DFB" w:rsidP="00B13217">
      <w:pPr>
        <w:jc w:val="both"/>
      </w:pPr>
      <w:r>
        <w:t xml:space="preserve">La disposizione segue la disciplina di favore riconosciuta </w:t>
      </w:r>
      <w:r w:rsidR="00AB19AA">
        <w:t xml:space="preserve">negli anni scorsi </w:t>
      </w:r>
      <w:r w:rsidR="00B13217">
        <w:t>a seguito degli</w:t>
      </w:r>
      <w:r w:rsidR="00B13217" w:rsidRPr="00B13217">
        <w:t xml:space="preserve"> eventi sismici verificatisi a far data dal 24 agosto 2016 </w:t>
      </w:r>
      <w:r w:rsidR="00B13217">
        <w:t>e contenuta nelle precedenti Leggi Finanziarie. In particolare il comma 997 della Legge Finanziaria 2019 aveva previsto l’esenzione in materia di ICP e TOSAP/COSAP a favore della stessa platea di attività. Nel comma si leggeva</w:t>
      </w:r>
      <w:r w:rsidR="00B13217" w:rsidRPr="00B13217">
        <w:t xml:space="preserve">: </w:t>
      </w:r>
      <w:r w:rsidR="00B13217" w:rsidRPr="00B13217">
        <w:rPr>
          <w:i/>
          <w:iCs/>
        </w:rPr>
        <w:t>“L'imposta per le insegne di esercizio di attività commerciali e di produzione di beni o servizi e la tassa di occupazione per gli spazi ed aree pubbliche ai sensi del decreto legislativo 15 novembre 1993, n. 507, non è dovuta per le attività con sede legale od operativa nei territori delle regioni Abruzzo, Lazio, Marche e Umbria, interessati dagli eventi sismici verificatisi a far data dal 24 agosto 2016, ricompresi nei comuni indicati negli allegati 1, 2 e 2-bis al decreto-legge 17 ottobre 2016, n. 189, convertito, con modificazioni, dalla legge 15 dicembre 2016, n. 229.”</w:t>
      </w:r>
      <w:r w:rsidR="00B13217" w:rsidRPr="00B13217">
        <w:t xml:space="preserve"> </w:t>
      </w:r>
    </w:p>
    <w:p w14:paraId="62A793B3" w14:textId="75792A8D" w:rsidR="00FF5C07" w:rsidRDefault="00B13217" w:rsidP="00B13217">
      <w:pPr>
        <w:jc w:val="both"/>
      </w:pPr>
      <w:r>
        <w:t xml:space="preserve">In quel caso l’esenzione </w:t>
      </w:r>
      <w:r w:rsidR="00FF5C07">
        <w:t>fu</w:t>
      </w:r>
      <w:r>
        <w:t xml:space="preserve"> disposta per Legge e il relativo ristoro, </w:t>
      </w:r>
      <w:r w:rsidRPr="00B13217">
        <w:t>a fronte delle minori entrate derivanti dalla disposizione agevolativa</w:t>
      </w:r>
      <w:r>
        <w:t xml:space="preserve">, fu previsto solo a favore degli enti locali che rientravano nel cratere del sisma </w:t>
      </w:r>
      <w:r w:rsidRPr="00B13217">
        <w:t>rientranti negli allegati al DL 189/2016</w:t>
      </w:r>
      <w:r w:rsidR="00FF5C07">
        <w:t>.</w:t>
      </w:r>
    </w:p>
    <w:p w14:paraId="0F79842D" w14:textId="40DD9EBF" w:rsidR="00FF5C07" w:rsidRDefault="00FF5C07" w:rsidP="00B13217">
      <w:pPr>
        <w:jc w:val="both"/>
      </w:pPr>
      <w:r>
        <w:t>Con il comma 583, la disposizione agevolativa diviene facoltà dei Comuni mantenendo il requisito soggettivo del beneficiario che dovrà avere sede legale o operativa in uno dei comuni interessati dal sisma.</w:t>
      </w:r>
      <w:r w:rsidR="00AB19AA">
        <w:t xml:space="preserve"> Per quanto riguarda il ristoro invece non è più vincolante che il Comune stesso rientri nell’area terremotata.</w:t>
      </w:r>
    </w:p>
    <w:p w14:paraId="433E9849" w14:textId="77777777" w:rsidR="00AB19AA" w:rsidRDefault="00F125C9" w:rsidP="00B13217">
      <w:pPr>
        <w:jc w:val="both"/>
      </w:pPr>
      <w:r>
        <w:t>V</w:t>
      </w:r>
      <w:r w:rsidR="00FF5C07">
        <w:t xml:space="preserve">enendo allo specifico quesito, si ritiene che la disposizione normativa non consenta di limitare l’agevolazione ad una parte sola delle potenziali </w:t>
      </w:r>
      <w:r>
        <w:t xml:space="preserve">attività economiche </w:t>
      </w:r>
      <w:r w:rsidR="00FF5C07">
        <w:t>beneficiarie</w:t>
      </w:r>
      <w:r>
        <w:t xml:space="preserve">. La norma è chiara nel prevedere la </w:t>
      </w:r>
      <w:r>
        <w:lastRenderedPageBreak/>
        <w:t xml:space="preserve">possibilità per i comuni di </w:t>
      </w:r>
      <w:r w:rsidRPr="00F125C9">
        <w:t>adotta</w:t>
      </w:r>
      <w:r>
        <w:t>re</w:t>
      </w:r>
      <w:r w:rsidRPr="00F125C9">
        <w:t xml:space="preserve"> </w:t>
      </w:r>
      <w:r>
        <w:t>esenzioni o</w:t>
      </w:r>
      <w:r w:rsidRPr="00F125C9">
        <w:t xml:space="preserve"> riduzion</w:t>
      </w:r>
      <w:r>
        <w:t>i</w:t>
      </w:r>
      <w:r w:rsidRPr="00F125C9">
        <w:t xml:space="preserve"> dei </w:t>
      </w:r>
      <w:r>
        <w:t>C</w:t>
      </w:r>
      <w:r w:rsidRPr="00F125C9">
        <w:t xml:space="preserve">anoni </w:t>
      </w:r>
      <w:r>
        <w:t>a favore del</w:t>
      </w:r>
      <w:r w:rsidRPr="00F125C9">
        <w:t>le attività con sede legale od operativa nei territori delle regioni Abruzzo, Lazio, Marche e Umbria interessati dagli eventi sismici verificatisi a far data dal 24 agosto 2016</w:t>
      </w:r>
      <w:r>
        <w:t>. Condizione necessaria per poter beneficiare del ristoro</w:t>
      </w:r>
      <w:r w:rsidR="00AB19AA">
        <w:t>,</w:t>
      </w:r>
      <w:r>
        <w:t xml:space="preserve"> fino alla concorrenza dello stanziamento deciso nella Legge Finanziaria</w:t>
      </w:r>
      <w:r w:rsidR="00AB19AA">
        <w:t>,</w:t>
      </w:r>
      <w:r>
        <w:t xml:space="preserve"> è che venga adottato un provvedimento agevolativo a favore della categoria di soggetti individuati dal Legislatore. </w:t>
      </w:r>
    </w:p>
    <w:p w14:paraId="693A73FD" w14:textId="77777777" w:rsidR="00FC2EA1" w:rsidRDefault="00F125C9" w:rsidP="00B13217">
      <w:pPr>
        <w:jc w:val="both"/>
      </w:pPr>
      <w:r>
        <w:t xml:space="preserve">Limitare l’agevolazione alle sole aziende che hanno la sede legale o operativa in un solo comune o in un ambito territoriale diverso e più ristretto, equivale a disporre di una agevolazione diversa che non potrà godere del ristoro. </w:t>
      </w:r>
    </w:p>
    <w:p w14:paraId="4D39E83A" w14:textId="2F3F3CCD" w:rsidR="00EE4AA1" w:rsidRDefault="00F125C9" w:rsidP="00B13217">
      <w:pPr>
        <w:jc w:val="both"/>
      </w:pPr>
      <w:r>
        <w:t>Sarebbe comunque legittim</w:t>
      </w:r>
      <w:r w:rsidR="00A707E1">
        <w:t>o adottare</w:t>
      </w:r>
      <w:r>
        <w:t xml:space="preserve"> una agevolazione di questo tipo? Nonostante la potestà regolamentare riconosciuta agli enti locali in materia di proprie entrate</w:t>
      </w:r>
      <w:r w:rsidR="00A707E1">
        <w:t xml:space="preserve"> (art. 52 </w:t>
      </w:r>
      <w:proofErr w:type="spellStart"/>
      <w:r w:rsidR="00A707E1">
        <w:t>D.Lgs</w:t>
      </w:r>
      <w:proofErr w:type="spellEnd"/>
      <w:r w:rsidR="00A707E1">
        <w:t xml:space="preserve"> 446/97)</w:t>
      </w:r>
      <w:r>
        <w:t xml:space="preserve">, nonostante le disposizioni del comma 821 della Legge 160/2019 che consentono ai Comuni di adottare forme di agevolazioni ulteriori rispetto a quelle previste dal Legislatore, si ritiene che una agevolazione come </w:t>
      </w:r>
      <w:r w:rsidR="00A707E1">
        <w:t xml:space="preserve">quella </w:t>
      </w:r>
      <w:r>
        <w:t xml:space="preserve">descritta, risulterebbe contraria ai  principi generali di equità, proporzionalità e gradualità </w:t>
      </w:r>
      <w:r w:rsidR="00C2357D">
        <w:t>che devono riscontrarsi n</w:t>
      </w:r>
      <w:r>
        <w:t xml:space="preserve">elle </w:t>
      </w:r>
      <w:r w:rsidR="00C2357D">
        <w:t xml:space="preserve">varie </w:t>
      </w:r>
      <w:r>
        <w:t>misure fiscali</w:t>
      </w:r>
      <w:r w:rsidR="00C2357D">
        <w:t xml:space="preserve"> adottate</w:t>
      </w:r>
      <w:r w:rsidR="00AB19AA">
        <w:t xml:space="preserve"> dagli enti</w:t>
      </w:r>
      <w:r>
        <w:t xml:space="preserve">, </w:t>
      </w:r>
      <w:r w:rsidR="00A707E1">
        <w:t>inoltre</w:t>
      </w:r>
      <w:r w:rsidR="00C2357D">
        <w:t>,</w:t>
      </w:r>
      <w:r>
        <w:t xml:space="preserve"> come </w:t>
      </w:r>
      <w:r w:rsidR="00AB19AA">
        <w:t>descritto</w:t>
      </w:r>
      <w:r>
        <w:t xml:space="preserve"> nel quesito</w:t>
      </w:r>
      <w:r w:rsidR="00C2357D">
        <w:t>, risulterebbe</w:t>
      </w:r>
      <w:r>
        <w:t xml:space="preserve"> lesiva del principio di concorrenza</w:t>
      </w:r>
      <w:r w:rsidR="00C2357D">
        <w:t>, soprattutto in un settore come quello edile dove l’incidenza del costo del suolo pubblico può fare la differenza nel valore di affidamento di</w:t>
      </w:r>
      <w:r w:rsidR="00AB19AA">
        <w:t xml:space="preserve"> un</w:t>
      </w:r>
      <w:r w:rsidR="00C2357D">
        <w:t xml:space="preserve"> lavoro</w:t>
      </w:r>
      <w:r>
        <w:t xml:space="preserve">. </w:t>
      </w:r>
    </w:p>
    <w:p w14:paraId="0781C5FD" w14:textId="2E79A4B7" w:rsidR="00FF5C07" w:rsidRDefault="00EE4AA1" w:rsidP="00B13217">
      <w:pPr>
        <w:jc w:val="both"/>
      </w:pPr>
      <w:r>
        <w:t>È utile ricordare come i</w:t>
      </w:r>
      <w:r w:rsidR="006A4D80">
        <w:t>l prelievo previsto per le occupazioni di suolo appartenente al patrimonio indisponibile degli enti</w:t>
      </w:r>
      <w:r w:rsidR="00A707E1">
        <w:t>,</w:t>
      </w:r>
      <w:r w:rsidR="006A4D80">
        <w:t xml:space="preserve"> si bas</w:t>
      </w:r>
      <w:r w:rsidR="00A707E1">
        <w:t>i</w:t>
      </w:r>
      <w:r w:rsidR="006A4D80">
        <w:t xml:space="preserve"> </w:t>
      </w:r>
      <w:r>
        <w:t xml:space="preserve">principalmente </w:t>
      </w:r>
      <w:r w:rsidR="006A4D80">
        <w:t xml:space="preserve">sui principi di </w:t>
      </w:r>
      <w:r w:rsidR="006A4D80" w:rsidRPr="00EE4AA1">
        <w:rPr>
          <w:i/>
          <w:iCs/>
        </w:rPr>
        <w:t>beneficio economico</w:t>
      </w:r>
      <w:r w:rsidR="006A4D80">
        <w:t>, che ritrae il soggetto a favore del qu</w:t>
      </w:r>
      <w:r>
        <w:t>a</w:t>
      </w:r>
      <w:r w:rsidR="006A4D80">
        <w:t>le si rimuove temporaneamente il vincolo di indisponibilità dell’area,</w:t>
      </w:r>
      <w:r w:rsidR="00F125C9">
        <w:t xml:space="preserve"> </w:t>
      </w:r>
      <w:r>
        <w:t xml:space="preserve">e di </w:t>
      </w:r>
      <w:r w:rsidRPr="00EE4AA1">
        <w:rPr>
          <w:i/>
          <w:iCs/>
        </w:rPr>
        <w:t>sacrificio imposto alla collettività</w:t>
      </w:r>
      <w:r>
        <w:rPr>
          <w:i/>
          <w:iCs/>
        </w:rPr>
        <w:t xml:space="preserve"> </w:t>
      </w:r>
      <w:r>
        <w:t xml:space="preserve">in relazione alla presenza dell’occupazione realizzata su suolo pubblico da parte dell’azienda beneficiaria che ne </w:t>
      </w:r>
      <w:r w:rsidR="00A707E1">
        <w:t>limita</w:t>
      </w:r>
      <w:r>
        <w:t xml:space="preserve"> il libero utilizzo. Adottare un provvedimento che differenzi il canone in base alla sede legale o operativa </w:t>
      </w:r>
      <w:r w:rsidR="00FC2EA1">
        <w:t xml:space="preserve">del soggetto passivo </w:t>
      </w:r>
      <w:r>
        <w:t>risulterebbe discriminatoria e non rispondente ai principi generali appena richiamati.</w:t>
      </w:r>
    </w:p>
    <w:p w14:paraId="4BD28FF5" w14:textId="34DF7338" w:rsidR="00FC2EA1" w:rsidRPr="00FC2EA1" w:rsidRDefault="00FC2EA1" w:rsidP="00FC2EA1">
      <w:pPr>
        <w:jc w:val="both"/>
      </w:pPr>
      <w:r w:rsidRPr="00FC2EA1">
        <w:t>Gli enti in questo senso sono chiamati a determinare le tariffe</w:t>
      </w:r>
      <w:r>
        <w:t xml:space="preserve"> (e conseguentemente le agevolazioni)</w:t>
      </w:r>
      <w:r w:rsidRPr="00FC2EA1">
        <w:t xml:space="preserve"> con criteri di ragionevolezza e gradualità tenendo conto della popolazione residente, della rilevanza dei flussi turistici presenti nel comune e delle caratteristiche urbanistiche delle diverse zone del territorio comunale, nonché della </w:t>
      </w:r>
      <w:proofErr w:type="spellStart"/>
      <w:r w:rsidRPr="00FC2EA1">
        <w:t>ritraibilità</w:t>
      </w:r>
      <w:proofErr w:type="spellEnd"/>
      <w:r w:rsidRPr="00FC2EA1">
        <w:t xml:space="preserve"> economica e dell'impatto ambientale delle occupazioni e delle esposizioni pubblicitarie oggetto del prelievo. </w:t>
      </w:r>
    </w:p>
    <w:p w14:paraId="5BDDB2C9" w14:textId="178D3002" w:rsidR="00FC2EA1" w:rsidRPr="00EE4AA1" w:rsidRDefault="00FC2EA1" w:rsidP="00FC2EA1">
      <w:pPr>
        <w:jc w:val="both"/>
      </w:pPr>
      <w:r w:rsidRPr="00FC2EA1">
        <w:t xml:space="preserve">Ecco quindi che il potere discrezionale e l’autonomia impositiva degli enti locali devono essere subordinati al rispetto dei principi di ragionevolezza e proporzionalità, e risultare satisfattive dell’interesse pubblico e non ingiustificatamente gravose per </w:t>
      </w:r>
      <w:r>
        <w:t>alcuni</w:t>
      </w:r>
      <w:r w:rsidRPr="00FC2EA1">
        <w:t xml:space="preserve"> contribuenti</w:t>
      </w:r>
      <w:r>
        <w:t>.</w:t>
      </w:r>
    </w:p>
    <w:p w14:paraId="45CB6C00" w14:textId="74089FB8" w:rsidR="00AB19AA" w:rsidRDefault="00AB19AA" w:rsidP="00B13217">
      <w:pPr>
        <w:jc w:val="both"/>
      </w:pPr>
      <w:r>
        <w:t xml:space="preserve">La questione si pone in generale e quindi anche in relazione alla seconda parte del quesito. </w:t>
      </w:r>
      <w:r w:rsidR="006E072D">
        <w:t xml:space="preserve">Anche per quanto riguarda iniziative pubblicitarie, insegne d’esercizio, occupazioni con </w:t>
      </w:r>
      <w:proofErr w:type="spellStart"/>
      <w:r w:rsidR="006E072D">
        <w:t>dehor</w:t>
      </w:r>
      <w:proofErr w:type="spellEnd"/>
      <w:r w:rsidR="006E072D">
        <w:t xml:space="preserve"> o altre strutture esposte su suolo pubblico, la platea dei beneficiari della norma di cui al comma 583, non può trovare una formale limitazione. Certo che nella maggioranza dei casi i beneficiari di queste iniziative saranno aziende del territorio, e nella stragrande maggioranza dei casi avranno sede legale o operativa nel Comune stesso. Tuttavia si possono </w:t>
      </w:r>
      <w:r w:rsidR="00192ECE">
        <w:t>verificare situazioni</w:t>
      </w:r>
      <w:r w:rsidR="006E072D">
        <w:t xml:space="preserve"> di occupazioni o diffusioni pubblicitarie realizzate da aziende aventi sed</w:t>
      </w:r>
      <w:r w:rsidR="00EE4AA1">
        <w:t>e</w:t>
      </w:r>
      <w:r w:rsidR="006E072D">
        <w:t xml:space="preserve"> presso un diverso </w:t>
      </w:r>
      <w:r w:rsidR="00192ECE">
        <w:t>comune</w:t>
      </w:r>
      <w:r w:rsidR="00995FC3">
        <w:t xml:space="preserve"> interessato dal sisma, disponendo </w:t>
      </w:r>
      <w:r w:rsidR="00EE4AA1">
        <w:t xml:space="preserve">nel vostro territorio </w:t>
      </w:r>
      <w:r w:rsidR="00995FC3">
        <w:t>di una</w:t>
      </w:r>
      <w:r w:rsidR="006E072D">
        <w:t xml:space="preserve"> </w:t>
      </w:r>
      <w:r w:rsidR="00EE4AA1">
        <w:t xml:space="preserve">semplice </w:t>
      </w:r>
      <w:r w:rsidR="006E072D">
        <w:t>unità locale.</w:t>
      </w:r>
    </w:p>
    <w:p w14:paraId="1E20062C" w14:textId="3C22FF06" w:rsidR="00AB4DFB" w:rsidRPr="00AB4DFB" w:rsidRDefault="00192ECE" w:rsidP="005D72A3">
      <w:pPr>
        <w:jc w:val="both"/>
      </w:pPr>
      <w:r>
        <w:t xml:space="preserve">Anche in relazione alla seconda parte del quesito, si ritiene </w:t>
      </w:r>
      <w:r w:rsidR="00EE4AA1">
        <w:t xml:space="preserve">pertanto </w:t>
      </w:r>
      <w:r>
        <w:t>che la norma agevolativa adottata in ragione del comma 583 e destinata a ricevere un ristoro da parte dello Stato grazie allo stanziamento di 5 milioni di euro, non posso vedere limitato il campo di applicazione</w:t>
      </w:r>
      <w:r w:rsidR="00EE4AA1">
        <w:t xml:space="preserve"> in ragione di </w:t>
      </w:r>
      <w:r>
        <w:t xml:space="preserve">requisiti soggettivi </w:t>
      </w:r>
      <w:r w:rsidR="00EE4AA1">
        <w:t>dei potenziali beneficiari.</w:t>
      </w:r>
    </w:p>
    <w:sectPr w:rsidR="00AB4DFB" w:rsidRPr="00AB4D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A3"/>
    <w:rsid w:val="00060149"/>
    <w:rsid w:val="00192ECE"/>
    <w:rsid w:val="005D72A3"/>
    <w:rsid w:val="006A4D80"/>
    <w:rsid w:val="006E072D"/>
    <w:rsid w:val="007B1496"/>
    <w:rsid w:val="009266D3"/>
    <w:rsid w:val="00995FC3"/>
    <w:rsid w:val="00A707E1"/>
    <w:rsid w:val="00AB19AA"/>
    <w:rsid w:val="00AB4DFB"/>
    <w:rsid w:val="00B13217"/>
    <w:rsid w:val="00C2357D"/>
    <w:rsid w:val="00C500D9"/>
    <w:rsid w:val="00EE4AA1"/>
    <w:rsid w:val="00F125C9"/>
    <w:rsid w:val="00FC2EA1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978CC"/>
  <w15:chartTrackingRefBased/>
  <w15:docId w15:val="{3780330F-F5A1-4C20-9122-92D20BB3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72A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72A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72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72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72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72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72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72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72A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72A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72A3"/>
    <w:rPr>
      <w:b/>
      <w:bCs/>
      <w:smallCaps/>
      <w:color w:val="2F5496" w:themeColor="accent1" w:themeShade="BF"/>
      <w:spacing w:val="5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5D72A3"/>
    <w:pPr>
      <w:spacing w:after="0" w:line="240" w:lineRule="auto"/>
    </w:pPr>
    <w:rPr>
      <w:rFonts w:ascii="Calibri" w:eastAsia="Times New Roman" w:hAnsi="Calibri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5D72A3"/>
    <w:rPr>
      <w:rFonts w:ascii="Calibri" w:eastAsia="Times New Roman" w:hAnsi="Calibri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5D72A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D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mattiva.it/uri-res/N2Ls?urn:nir:stato:decreto.legge:2016-10-17;18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ormattiva.it/uri-res/N2Ls?urn:nir:stato:legge:2019-12-27;160~art1-com8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ormattiva.it/uri-res/N2Ls?urn:nir:stato:legge:2019-12-27;160~art1-com81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rmattiva.it/uri-res/N2Ls?urn:nir:stato:legge:2023-03-10;2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normattiva.it/uri-res/N2Ls?urn:nir:stato:decreto.legge:2023-01-11;3~art2-com2" TargetMode="External"/><Relationship Id="rId9" Type="http://schemas.openxmlformats.org/officeDocument/2006/relationships/hyperlink" Target="https://www.normattiva.it/uri-res/N2Ls?urn:nir:stato:legge:2016-12-15;229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7</cp:revision>
  <dcterms:created xsi:type="dcterms:W3CDTF">2026-01-26T14:57:00Z</dcterms:created>
  <dcterms:modified xsi:type="dcterms:W3CDTF">2026-01-27T08:50:00Z</dcterms:modified>
</cp:coreProperties>
</file>