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ADB71" w14:textId="3F714B3A" w:rsidR="006862D0" w:rsidRDefault="008963A1">
      <w:r>
        <w:t xml:space="preserve">Titolo: </w:t>
      </w:r>
      <w:r w:rsidR="006862D0">
        <w:tab/>
      </w:r>
      <w:r>
        <w:t xml:space="preserve">il TAR della Lombardia </w:t>
      </w:r>
      <w:r w:rsidR="00EF03FB">
        <w:t xml:space="preserve">pone dei punti fermi </w:t>
      </w:r>
      <w:r>
        <w:t xml:space="preserve">nella </w:t>
      </w:r>
      <w:r w:rsidR="00EF03FB">
        <w:t>travagliata</w:t>
      </w:r>
      <w:r>
        <w:t xml:space="preserve"> disciplina del CUP</w:t>
      </w:r>
      <w:r w:rsidR="00EF03FB">
        <w:t xml:space="preserve"> – </w:t>
      </w:r>
    </w:p>
    <w:p w14:paraId="4F85B97C" w14:textId="5BDF025F" w:rsidR="00060149" w:rsidRDefault="00EF03FB" w:rsidP="006862D0">
      <w:pPr>
        <w:ind w:firstLine="708"/>
      </w:pPr>
      <w:r>
        <w:t>parte prima</w:t>
      </w:r>
      <w:r w:rsidR="006862D0">
        <w:t>: la questione di legittimità costituzionale</w:t>
      </w:r>
    </w:p>
    <w:p w14:paraId="1A7FFBB6" w14:textId="77777777" w:rsidR="00EF03FB" w:rsidRDefault="00EF03FB" w:rsidP="008963A1">
      <w:pPr>
        <w:jc w:val="both"/>
      </w:pPr>
    </w:p>
    <w:p w14:paraId="3039CBCB" w14:textId="77777777" w:rsidR="006862D0" w:rsidRDefault="006862D0" w:rsidP="006862D0">
      <w:pPr>
        <w:jc w:val="both"/>
      </w:pPr>
      <w:r>
        <w:t>Sono di recente pubblicazione due sentenze pronunciate dai giudici della Sezione quarta del Tribunale Amministrativo Regionale per la Lombardia, che si è espressa sui ricorsi proposti da una cordata di società specializzate nella diffusione pubblicitaria, e da due associazioni rappresentative a livello nazionale del settore della pubblicità esterna.</w:t>
      </w:r>
    </w:p>
    <w:p w14:paraId="344C027D" w14:textId="77777777" w:rsidR="006862D0" w:rsidRDefault="006862D0" w:rsidP="006862D0">
      <w:pPr>
        <w:jc w:val="both"/>
      </w:pPr>
      <w:r>
        <w:t xml:space="preserve">Il ricorso è stato presentato per l’annullamento dei regolamenti adottati da due Comuni lombardi per l'applicazione del Canone patrimoniale di concessione, autorizzazione di occupazione ed esposizione pubblicitaria – Canone Unico Patrimoniale, istituito dai Comuni, Province e Città </w:t>
      </w:r>
      <w:proofErr w:type="gramStart"/>
      <w:r>
        <w:t>metropolitane  così</w:t>
      </w:r>
      <w:proofErr w:type="gramEnd"/>
      <w:r>
        <w:t xml:space="preserve"> come stabilito dal comma 816, articolo 1 della legge 160/2019.</w:t>
      </w:r>
    </w:p>
    <w:p w14:paraId="630843C9" w14:textId="77777777" w:rsidR="006862D0" w:rsidRDefault="006862D0" w:rsidP="006862D0">
      <w:pPr>
        <w:jc w:val="both"/>
      </w:pPr>
      <w:r>
        <w:t xml:space="preserve">La sentenza, a distanza di tre anni dall’introduzione della nuova entrata, pone dei punti fermi sulla disciplina, legittimando l’operato degli enti territoriali impegnati a navigare a vista in un mare pieno di difficoltà e incertezze, districandosi tra mille problemi interpretativi. </w:t>
      </w:r>
    </w:p>
    <w:p w14:paraId="4F1D4FB5" w14:textId="77777777" w:rsidR="006862D0" w:rsidRDefault="006862D0" w:rsidP="006862D0">
      <w:pPr>
        <w:jc w:val="both"/>
      </w:pPr>
      <w:r>
        <w:t>Questa pronuncia rappresenta un piccolo passo in avanti nel difficile percorso applicativo dell’entrata che, come avevamo previsto fin dalla sua introduzione, avrebbe bisogno di una profonda revisione.</w:t>
      </w:r>
    </w:p>
    <w:p w14:paraId="3287BCDA" w14:textId="77777777" w:rsidR="006862D0" w:rsidRDefault="006862D0" w:rsidP="006862D0">
      <w:pPr>
        <w:jc w:val="both"/>
      </w:pPr>
      <w:r>
        <w:t>Sette i motivi di doglianza contenuti nel ricorso. Tutti respinti dal TAR con motivazioni che meritano analisi e approfondimenti utili a consolidare e migliorare la gestione della nuova entrata. Procediamo pertanto ad affrontare singolarmente questi sette temi sottoposti al Tribunale Amministrativo.</w:t>
      </w:r>
    </w:p>
    <w:p w14:paraId="310369B7" w14:textId="2965C8BD" w:rsidR="00552588" w:rsidRDefault="00552588" w:rsidP="00552588">
      <w:pPr>
        <w:jc w:val="both"/>
      </w:pPr>
      <w:r w:rsidRPr="00552588">
        <w:rPr>
          <w:b/>
          <w:bCs/>
        </w:rPr>
        <w:t xml:space="preserve">1° </w:t>
      </w:r>
      <w:proofErr w:type="gramStart"/>
      <w:r w:rsidRPr="00552588">
        <w:rPr>
          <w:b/>
          <w:bCs/>
        </w:rPr>
        <w:t>motivo  -</w:t>
      </w:r>
      <w:proofErr w:type="gramEnd"/>
      <w:r w:rsidRPr="00552588">
        <w:rPr>
          <w:b/>
          <w:bCs/>
        </w:rPr>
        <w:t xml:space="preserve"> viene sollevata questione di illegittimità costituzionale</w:t>
      </w:r>
      <w:r>
        <w:rPr>
          <w:b/>
          <w:bCs/>
        </w:rPr>
        <w:t xml:space="preserve"> della norma</w:t>
      </w:r>
    </w:p>
    <w:p w14:paraId="1C8DB500" w14:textId="111841E4" w:rsidR="00722F24" w:rsidRDefault="00552588" w:rsidP="008963A1">
      <w:pPr>
        <w:jc w:val="both"/>
      </w:pPr>
      <w:r>
        <w:t xml:space="preserve">Con il primo motivo di ricorso, in sede preliminare, viene sollevata dalle ricorrenti la questione di </w:t>
      </w:r>
      <w:r w:rsidRPr="00552588">
        <w:t>incostituzionalità</w:t>
      </w:r>
      <w:r>
        <w:t xml:space="preserve"> di alcuni commi che regolano l’introduzione della nuova entrata. Si ipotizza in particolare un vizio di </w:t>
      </w:r>
      <w:r w:rsidRPr="00552588">
        <w:t>incostituzionalità</w:t>
      </w:r>
      <w:r>
        <w:t xml:space="preserve"> del comma 817 in relazione all’articolo 23 della Costituzione.</w:t>
      </w:r>
    </w:p>
    <w:p w14:paraId="47E16972" w14:textId="0B09979F" w:rsidR="0043112F" w:rsidRDefault="0043112F" w:rsidP="0043112F">
      <w:pPr>
        <w:jc w:val="both"/>
      </w:pPr>
      <w:r>
        <w:t xml:space="preserve">Il comma 817 prevede che il canone venga disciplinato dagli enti locali che lo istituiscono </w:t>
      </w:r>
      <w:r w:rsidRPr="0043112F">
        <w:rPr>
          <w:i/>
          <w:iCs/>
        </w:rPr>
        <w:t>«in modo da assicurare un gettito pari a quello conseguito dai canoni e dai tributi che sono sostituiti dal canone, fatta salva, in ogni caso, la possibilità di variare il gettito attraverso la modifica delle tariffe».</w:t>
      </w:r>
    </w:p>
    <w:p w14:paraId="4BC0ABD3" w14:textId="57CB015D" w:rsidR="0043112F" w:rsidRDefault="0043112F" w:rsidP="0043112F">
      <w:pPr>
        <w:jc w:val="both"/>
      </w:pPr>
      <w:r>
        <w:t xml:space="preserve">Comma davvero particolare che abbiamo già analizzato con un precedente approfondimento dal titolo: </w:t>
      </w:r>
      <w:r w:rsidRPr="0043112F">
        <w:rPr>
          <w:i/>
          <w:iCs/>
        </w:rPr>
        <w:t>“Cosa resta del vincolo della parità di gettito nel Canone Unico Patrimoniale”</w:t>
      </w:r>
      <w:r>
        <w:t xml:space="preserve"> pubblicato sulla piattaforma NT+ Enti Locali il 7 marzo 2023.</w:t>
      </w:r>
    </w:p>
    <w:p w14:paraId="7EB08D6F" w14:textId="0813188C" w:rsidR="0043112F" w:rsidRDefault="0043112F" w:rsidP="007513A8">
      <w:pPr>
        <w:jc w:val="both"/>
        <w:rPr>
          <w:i/>
          <w:iCs/>
        </w:rPr>
      </w:pPr>
      <w:r>
        <w:t xml:space="preserve">I ricorrenti sollevano il vizio di </w:t>
      </w:r>
      <w:r w:rsidRPr="00552588">
        <w:t>incostituzionalità</w:t>
      </w:r>
      <w:r w:rsidR="007513A8">
        <w:t xml:space="preserve"> per la parte conclusiva della disposizione, dove si attribuisce agli enti locali il potere di modificare le tariffe variando il gettito del canone. Questo sarebbe in contrasto con l’articolo 23 della Costituzione</w:t>
      </w:r>
      <w:r w:rsidR="00D1594F">
        <w:t xml:space="preserve"> che prevede come: </w:t>
      </w:r>
      <w:r w:rsidR="00D1594F" w:rsidRPr="00D1594F">
        <w:rPr>
          <w:i/>
          <w:iCs/>
        </w:rPr>
        <w:t>“Nessuna prestazione personale o patrimoniale può essere imposta se non in base alla legge.”</w:t>
      </w:r>
    </w:p>
    <w:p w14:paraId="04A510D5" w14:textId="52BA8D5C" w:rsidR="005C69C0" w:rsidRDefault="005C69C0" w:rsidP="005C69C0">
      <w:pPr>
        <w:jc w:val="both"/>
      </w:pPr>
      <w:r>
        <w:t xml:space="preserve">È evidente come questo motivo vada respinto. Il succitato art. 23, riguardante tutte le prestazioni imposte dallo Stato al cittadino, trova applicazione anche per il canone unico che costituisce certamente una prestazione patrimoniale imposta e quindi deve sottostare alla riserva di legge introdotta dalla Costituzione, tuttavia quella prevista dal riportato art. 23 della Costituzione costituisce indubbiamente una riserva di legge relativa. Ciò significa che la materia interessata dalla disposizione costituzionale non deve essere integralmente disciplinata da una legge o con atto normativo avente forza di legge (come accadrebbe in presenza di una riserva assoluta), ma che i principi fondamentali posti alla base della disciplina della materia stessa devono essere individuati dalla legge (o atto avente pari forza), mentre i profili ulteriori possono essere regolamentati con atti normativi subordinati alla legge o mediante provvedimenti amministrativi, tra cui </w:t>
      </w:r>
      <w:r>
        <w:lastRenderedPageBreak/>
        <w:t>anche i regolamenti degli enti locali (art. 119 della Costituzione).</w:t>
      </w:r>
      <w:r w:rsidR="00FD007C">
        <w:t xml:space="preserve"> Esattamente quanto avviene con il Canone Unico introdotto con il comma 816 della Legge 160/2019.</w:t>
      </w:r>
    </w:p>
    <w:p w14:paraId="670FB517" w14:textId="3FE5C692" w:rsidR="001439E3" w:rsidRDefault="001439E3" w:rsidP="001439E3">
      <w:pPr>
        <w:jc w:val="both"/>
        <w:rPr>
          <w:i/>
          <w:iCs/>
        </w:rPr>
      </w:pPr>
      <w:r>
        <w:t xml:space="preserve">La stessa </w:t>
      </w:r>
      <w:r w:rsidRPr="001439E3">
        <w:t xml:space="preserve">Corte Costituzionale, </w:t>
      </w:r>
      <w:r>
        <w:t xml:space="preserve">con la sentenza </w:t>
      </w:r>
      <w:r w:rsidRPr="001439E3">
        <w:t>28 dicembre 2001, n. 435</w:t>
      </w:r>
      <w:r>
        <w:t xml:space="preserve"> ha affermato che</w:t>
      </w:r>
      <w:proofErr w:type="gramStart"/>
      <w:r>
        <w:t xml:space="preserve">: </w:t>
      </w:r>
      <w:r w:rsidRPr="001439E3">
        <w:rPr>
          <w:i/>
          <w:iCs/>
        </w:rPr>
        <w:t>”la</w:t>
      </w:r>
      <w:proofErr w:type="gramEnd"/>
      <w:r w:rsidRPr="001439E3">
        <w:rPr>
          <w:i/>
          <w:iCs/>
        </w:rPr>
        <w:t xml:space="preserve"> riserva di legge di cui all'art. 23 della Costituzione è soddisfatta purché la legge stabilisca gli elementi fondamentali dell'imposizione, anche se demanda a fonti secondarie o al potere dell'amministrazione la specificazione e l'integrazione di tale disciplina”</w:t>
      </w:r>
      <w:r>
        <w:rPr>
          <w:i/>
          <w:iCs/>
        </w:rPr>
        <w:t xml:space="preserve">. </w:t>
      </w:r>
      <w:r w:rsidRPr="001439E3">
        <w:t>Più specificamente, la legge dovrà necessariamente individuare compiutamente il soggetto e l’oggetto della prestazione imposta</w:t>
      </w:r>
      <w:r w:rsidRPr="001439E3">
        <w:rPr>
          <w:i/>
          <w:iCs/>
        </w:rPr>
        <w:t>, «mentre l'intervento complementare</w:t>
      </w:r>
      <w:r>
        <w:rPr>
          <w:i/>
          <w:iCs/>
        </w:rPr>
        <w:t xml:space="preserve"> </w:t>
      </w:r>
      <w:r w:rsidRPr="001439E3">
        <w:rPr>
          <w:i/>
          <w:iCs/>
        </w:rPr>
        <w:t>ed integrativo da parte della pubblica amministrazione deve rimanere circoscritto</w:t>
      </w:r>
      <w:r>
        <w:rPr>
          <w:i/>
          <w:iCs/>
        </w:rPr>
        <w:t xml:space="preserve"> </w:t>
      </w:r>
      <w:r w:rsidRPr="001439E3">
        <w:rPr>
          <w:i/>
          <w:iCs/>
        </w:rPr>
        <w:t>alla specificazione quantitativa (e qualche volta, anche qualitativa) della</w:t>
      </w:r>
      <w:r>
        <w:rPr>
          <w:i/>
          <w:iCs/>
        </w:rPr>
        <w:t xml:space="preserve"> </w:t>
      </w:r>
      <w:r w:rsidRPr="001439E3">
        <w:rPr>
          <w:i/>
          <w:iCs/>
        </w:rPr>
        <w:t>prestazione medesima: senza che residui la possibilità di scelte del tutto libere e</w:t>
      </w:r>
      <w:r>
        <w:rPr>
          <w:i/>
          <w:iCs/>
        </w:rPr>
        <w:t xml:space="preserve"> </w:t>
      </w:r>
      <w:r w:rsidRPr="001439E3">
        <w:rPr>
          <w:i/>
          <w:iCs/>
        </w:rPr>
        <w:t>perciò eventualmente arbitrarie della stessa pubblica amministrazione, ma</w:t>
      </w:r>
      <w:r>
        <w:rPr>
          <w:i/>
          <w:iCs/>
        </w:rPr>
        <w:t xml:space="preserve"> </w:t>
      </w:r>
      <w:r w:rsidRPr="001439E3">
        <w:rPr>
          <w:i/>
          <w:iCs/>
        </w:rPr>
        <w:t>sussistano nella previsione legislativa - considerata nella complessiva disciplina</w:t>
      </w:r>
      <w:r>
        <w:rPr>
          <w:i/>
          <w:iCs/>
        </w:rPr>
        <w:t xml:space="preserve"> </w:t>
      </w:r>
      <w:r w:rsidRPr="001439E3">
        <w:rPr>
          <w:i/>
          <w:iCs/>
        </w:rPr>
        <w:t>della materia - razionali ed adeguati criteri per la concreta individuazione</w:t>
      </w:r>
      <w:r>
        <w:rPr>
          <w:i/>
          <w:iCs/>
        </w:rPr>
        <w:t xml:space="preserve"> </w:t>
      </w:r>
      <w:r w:rsidRPr="001439E3">
        <w:rPr>
          <w:i/>
          <w:iCs/>
        </w:rPr>
        <w:t>dell'onere imposto al soggetto nell'interesse generale</w:t>
      </w:r>
      <w:r>
        <w:rPr>
          <w:i/>
          <w:iCs/>
        </w:rPr>
        <w:t>”.</w:t>
      </w:r>
    </w:p>
    <w:p w14:paraId="35B7BD26" w14:textId="77777777" w:rsidR="001439E3" w:rsidRDefault="001439E3" w:rsidP="001439E3">
      <w:pPr>
        <w:jc w:val="both"/>
      </w:pPr>
      <w:r>
        <w:t xml:space="preserve">Il TAR richiamando la sentenza della Corte Costituzionale, cala nella disciplina del Canone Unico, questi fondamentali principi che di fatto legittimano il buon operato degli Enti Pubblici territoriali che hanno disciplinato l’entrata nell’ambito della loro competenza. </w:t>
      </w:r>
    </w:p>
    <w:p w14:paraId="28885FB2" w14:textId="08FEA5B3" w:rsidR="001439E3" w:rsidRDefault="001439E3" w:rsidP="002A659E">
      <w:pPr>
        <w:jc w:val="both"/>
        <w:rPr>
          <w:i/>
          <w:iCs/>
        </w:rPr>
      </w:pPr>
      <w:r>
        <w:t>Particolarmente signi</w:t>
      </w:r>
      <w:r w:rsidR="002A659E">
        <w:t xml:space="preserve">ficativa l’affermazione della </w:t>
      </w:r>
      <w:proofErr w:type="gramStart"/>
      <w:r w:rsidR="002A659E">
        <w:t xml:space="preserve">Corte </w:t>
      </w:r>
      <w:r>
        <w:t xml:space="preserve"> </w:t>
      </w:r>
      <w:r w:rsidR="002A659E" w:rsidRPr="002A659E">
        <w:rPr>
          <w:i/>
          <w:iCs/>
        </w:rPr>
        <w:t>“</w:t>
      </w:r>
      <w:proofErr w:type="gramEnd"/>
      <w:r w:rsidR="002A659E" w:rsidRPr="002A659E">
        <w:rPr>
          <w:i/>
          <w:iCs/>
        </w:rPr>
        <w:t>la delimitazione della potestà amministrativa non deve necessariamente risultare dalla formula della norma stessa, ma ben si può ricavare da tutto il contesto della disciplina relativa alla materia di cui essa fa parte.</w:t>
      </w:r>
      <w:r w:rsidR="002A659E">
        <w:rPr>
          <w:i/>
          <w:iCs/>
        </w:rPr>
        <w:t xml:space="preserve"> </w:t>
      </w:r>
      <w:r w:rsidR="002A659E" w:rsidRPr="002A659E">
        <w:rPr>
          <w:i/>
          <w:iCs/>
        </w:rPr>
        <w:t>Ne discende che la natura tecnica dei suddetti criteri, come questa</w:t>
      </w:r>
      <w:r w:rsidR="002A659E">
        <w:rPr>
          <w:i/>
          <w:iCs/>
        </w:rPr>
        <w:t xml:space="preserve"> </w:t>
      </w:r>
      <w:r w:rsidR="002A659E" w:rsidRPr="002A659E">
        <w:rPr>
          <w:i/>
          <w:iCs/>
        </w:rPr>
        <w:t>Corte ha ripetutamente affermato</w:t>
      </w:r>
      <w:r w:rsidR="002A659E">
        <w:rPr>
          <w:i/>
          <w:iCs/>
        </w:rPr>
        <w:t xml:space="preserve"> </w:t>
      </w:r>
      <w:r w:rsidR="002A659E" w:rsidRPr="002A659E">
        <w:rPr>
          <w:i/>
          <w:iCs/>
        </w:rPr>
        <w:t>esclude la</w:t>
      </w:r>
      <w:r w:rsidR="002A659E">
        <w:rPr>
          <w:i/>
          <w:iCs/>
        </w:rPr>
        <w:t xml:space="preserve"> </w:t>
      </w:r>
      <w:r w:rsidR="002A659E" w:rsidRPr="002A659E">
        <w:rPr>
          <w:i/>
          <w:iCs/>
        </w:rPr>
        <w:t>sussistenza di un potere della pubblica amministrazione così ampio, da potere</w:t>
      </w:r>
      <w:r w:rsidR="002A659E">
        <w:rPr>
          <w:i/>
          <w:iCs/>
        </w:rPr>
        <w:t xml:space="preserve"> </w:t>
      </w:r>
      <w:r w:rsidR="002A659E" w:rsidRPr="002A659E">
        <w:rPr>
          <w:i/>
          <w:iCs/>
        </w:rPr>
        <w:t>sconfinare nell'arbitrario; esso, per contro, risulta circoscritto nell'ambito della</w:t>
      </w:r>
      <w:r w:rsidR="002A659E">
        <w:rPr>
          <w:i/>
          <w:iCs/>
        </w:rPr>
        <w:t xml:space="preserve"> </w:t>
      </w:r>
      <w:r w:rsidR="002A659E" w:rsidRPr="002A659E">
        <w:rPr>
          <w:i/>
          <w:iCs/>
        </w:rPr>
        <w:t>cosiddetta discrezionalità tecnica, che impone all'Amministrazione di adottare,</w:t>
      </w:r>
      <w:r w:rsidR="002A659E">
        <w:rPr>
          <w:i/>
          <w:iCs/>
        </w:rPr>
        <w:t xml:space="preserve"> </w:t>
      </w:r>
      <w:r w:rsidR="002A659E" w:rsidRPr="002A659E">
        <w:rPr>
          <w:i/>
          <w:iCs/>
        </w:rPr>
        <w:t>previ i necessari accertamenti di fatto, soluzioni imposte dagli anzidetti criteri</w:t>
      </w:r>
      <w:r w:rsidR="002A659E">
        <w:rPr>
          <w:i/>
          <w:iCs/>
        </w:rPr>
        <w:t>”</w:t>
      </w:r>
    </w:p>
    <w:p w14:paraId="02DDED7E" w14:textId="5004010A" w:rsidR="002A659E" w:rsidRDefault="002A659E" w:rsidP="005629B1">
      <w:pPr>
        <w:jc w:val="both"/>
      </w:pPr>
      <w:r>
        <w:t xml:space="preserve">L’autonomia riconosciuta, in materia di proprie entrate, agli enti pubblici territoriali, dall’articolo 52 del </w:t>
      </w:r>
      <w:proofErr w:type="spellStart"/>
      <w:r>
        <w:t>D.Lgs</w:t>
      </w:r>
      <w:proofErr w:type="spellEnd"/>
      <w:r>
        <w:t xml:space="preserve"> 446/97 trova dei limiti legati proprio alla cosiddetta discrezionalità tecnica. Concetto di limitazione della potestà regolamentare che abbiamo </w:t>
      </w:r>
      <w:r w:rsidR="005629B1">
        <w:t xml:space="preserve">in passato già </w:t>
      </w:r>
      <w:r>
        <w:t xml:space="preserve">approfondito negli articoli </w:t>
      </w:r>
      <w:r w:rsidRPr="002A659E">
        <w:rPr>
          <w:i/>
          <w:iCs/>
        </w:rPr>
        <w:t>“Divieto di disporre esenzioni non definite nel Regolamento Comunale”</w:t>
      </w:r>
      <w:r>
        <w:rPr>
          <w:i/>
          <w:iCs/>
        </w:rPr>
        <w:t xml:space="preserve"> </w:t>
      </w:r>
      <w:r>
        <w:t>pubblicato sulla piattaforma Smart24 il 27/06/2023 e “</w:t>
      </w:r>
      <w:r w:rsidR="005629B1" w:rsidRPr="005629B1">
        <w:rPr>
          <w:i/>
          <w:iCs/>
        </w:rPr>
        <w:t>Cosa resta del vincolo della parità di gettito nel Canone Unico Patrimoniale”</w:t>
      </w:r>
      <w:r w:rsidR="005629B1">
        <w:t xml:space="preserve"> pubblicato il 7 marzo 2023, e che oggi ritroviamo nella sentenza del TAR Lombardia.</w:t>
      </w:r>
    </w:p>
    <w:p w14:paraId="185BA6E6" w14:textId="409D6E44" w:rsidR="005629B1" w:rsidRDefault="005629B1" w:rsidP="005629B1">
      <w:pPr>
        <w:jc w:val="both"/>
      </w:pPr>
      <w:r>
        <w:t>Avevamo già evidenziato le problematiche legate proprio all’autonomia degli enti locali che non deve sconfinare nell’arbitrio. Alla difficoltà nel capire fin dove potersi spingere senza oltrepassare quel limite invisibile ma reale che delimita la potestà degli enti territoriali.</w:t>
      </w:r>
    </w:p>
    <w:p w14:paraId="663AE140" w14:textId="06E2E0B7" w:rsidR="005629B1" w:rsidRDefault="005629B1" w:rsidP="005629B1">
      <w:pPr>
        <w:jc w:val="both"/>
      </w:pPr>
      <w:r>
        <w:t>Ecco perché questo primo motivo di doglianza affrontato dal TAR diventa davvero una pietra importante posta sul percorso della disciplina del Canone Unico, un suggello sull’operato di quelle pubbliche amministrazioni virtuose che hanno seguito fin da subito questa linea.</w:t>
      </w:r>
    </w:p>
    <w:p w14:paraId="51F8850D" w14:textId="77777777" w:rsidR="000955E0" w:rsidRDefault="005629B1" w:rsidP="000955E0">
      <w:pPr>
        <w:jc w:val="both"/>
      </w:pPr>
      <w:r>
        <w:t xml:space="preserve">La legge impositiva della prestazione patrimoniale, in definitiva, può dirsi costituzionalmente legittima sotto il profilo della riserva di legge se reca, in modo compiuto, l’individuazione del presupposto applicativo della prestazione, e i soggetti che sono tenuti al relativo assolvimento. </w:t>
      </w:r>
    </w:p>
    <w:p w14:paraId="773F3063" w14:textId="46151ED6" w:rsidR="005629B1" w:rsidRDefault="005629B1" w:rsidP="000955E0">
      <w:pPr>
        <w:jc w:val="both"/>
      </w:pPr>
      <w:r>
        <w:t>La disciplina del Canone Unico rispetta pienamente queste caratteristiche. Il legislatore ha ben definito presupposto</w:t>
      </w:r>
      <w:r w:rsidR="000955E0">
        <w:t xml:space="preserve"> applicativo (comma 819), il soggetto passivo (comma 823) e ha fornito ai soggetti attivi tutte le indicazioni necessarie per disciplinare correttamente l’entrata. Nel complesso, le disposizioni introdotte consentono di escludere ipotesi di arbitrarietà del potere in capo all’Amministrazione comunale, che è invece chiamata ad esercitare un’attività discrezionale, entro ristretti limiti di scelta fissati dal legislatore o comunque desumibili dalla funzione del Canone Unico, e sempre nel rispetto dei fondamentali principi (inter alia) di </w:t>
      </w:r>
      <w:r w:rsidR="000955E0">
        <w:lastRenderedPageBreak/>
        <w:t>ragionevolezza, logicità, buon andamento e imparzialità che devono indefettibilmente guidare l’azione amministrativa.</w:t>
      </w:r>
    </w:p>
    <w:p w14:paraId="24591B14" w14:textId="680F1FC2" w:rsidR="000955E0" w:rsidRDefault="000955E0" w:rsidP="00055E08">
      <w:pPr>
        <w:jc w:val="both"/>
      </w:pPr>
      <w:r>
        <w:t xml:space="preserve">Ecco quindi che la disciplina CUP, seppur con molte problematiche ancora </w:t>
      </w:r>
      <w:r w:rsidR="00EF03FB">
        <w:t>irrisolte, non</w:t>
      </w:r>
      <w:r>
        <w:t xml:space="preserve"> presenta vizi di incostituzionalità.</w:t>
      </w:r>
      <w:r w:rsidR="00055E08">
        <w:t xml:space="preserve"> Nella sentenza si legge:</w:t>
      </w:r>
      <w:r w:rsidR="00055E08" w:rsidRPr="00055E08">
        <w:rPr>
          <w:i/>
          <w:iCs/>
        </w:rPr>
        <w:t xml:space="preserve"> “</w:t>
      </w:r>
      <w:r w:rsidR="00055E08" w:rsidRPr="00055E08">
        <w:rPr>
          <w:i/>
          <w:iCs/>
        </w:rPr>
        <w:t xml:space="preserve">In conclusione, il legislatore primario dell’art. 1 commi 816 e </w:t>
      </w:r>
      <w:proofErr w:type="spellStart"/>
      <w:r w:rsidR="00055E08" w:rsidRPr="00055E08">
        <w:rPr>
          <w:i/>
          <w:iCs/>
        </w:rPr>
        <w:t>ss</w:t>
      </w:r>
      <w:proofErr w:type="spellEnd"/>
      <w:r w:rsidR="00055E08" w:rsidRPr="00055E08">
        <w:rPr>
          <w:i/>
          <w:iCs/>
        </w:rPr>
        <w:t>, L. 160/2019</w:t>
      </w:r>
      <w:r w:rsidR="00055E08" w:rsidRPr="00055E08">
        <w:rPr>
          <w:i/>
          <w:iCs/>
        </w:rPr>
        <w:t xml:space="preserve"> </w:t>
      </w:r>
      <w:r w:rsidR="00055E08" w:rsidRPr="00055E08">
        <w:rPr>
          <w:i/>
          <w:iCs/>
        </w:rPr>
        <w:t>ha compiutamente assolto al compito, ad esso attribuito dall’art. 23 della</w:t>
      </w:r>
      <w:r w:rsidR="00055E08" w:rsidRPr="00055E08">
        <w:rPr>
          <w:i/>
          <w:iCs/>
        </w:rPr>
        <w:t xml:space="preserve"> </w:t>
      </w:r>
      <w:r w:rsidR="00055E08" w:rsidRPr="00055E08">
        <w:rPr>
          <w:i/>
          <w:iCs/>
        </w:rPr>
        <w:t>Costituzione, di disciplinare gli elementi essenziali della prestazione patrimoniale</w:t>
      </w:r>
      <w:r w:rsidR="00055E08" w:rsidRPr="00055E08">
        <w:rPr>
          <w:i/>
          <w:iCs/>
        </w:rPr>
        <w:t xml:space="preserve"> </w:t>
      </w:r>
      <w:r w:rsidR="00055E08" w:rsidRPr="00055E08">
        <w:rPr>
          <w:i/>
          <w:iCs/>
        </w:rPr>
        <w:t>imposta e di delimitare il potere attuativo dell’Amministrazione nella</w:t>
      </w:r>
      <w:r w:rsidR="00055E08" w:rsidRPr="00055E08">
        <w:rPr>
          <w:i/>
          <w:iCs/>
        </w:rPr>
        <w:t xml:space="preserve"> </w:t>
      </w:r>
      <w:r w:rsidR="00055E08" w:rsidRPr="00055E08">
        <w:rPr>
          <w:i/>
          <w:iCs/>
        </w:rPr>
        <w:t>quantificazione del canone, con conseguente manifesta infondatezza della questione</w:t>
      </w:r>
      <w:r w:rsidR="00055E08" w:rsidRPr="00055E08">
        <w:rPr>
          <w:i/>
          <w:iCs/>
        </w:rPr>
        <w:t xml:space="preserve"> </w:t>
      </w:r>
      <w:r w:rsidR="00055E08" w:rsidRPr="00055E08">
        <w:rPr>
          <w:i/>
          <w:iCs/>
        </w:rPr>
        <w:t>di illegittimità costituzionale qui in esame.</w:t>
      </w:r>
      <w:r w:rsidR="00055E08" w:rsidRPr="00055E08">
        <w:rPr>
          <w:i/>
          <w:iCs/>
        </w:rPr>
        <w:t>”</w:t>
      </w:r>
    </w:p>
    <w:p w14:paraId="40D551A2" w14:textId="6721E5F1" w:rsidR="000955E0" w:rsidRPr="005629B1" w:rsidRDefault="000955E0" w:rsidP="000955E0">
      <w:pPr>
        <w:jc w:val="both"/>
      </w:pPr>
      <w:r>
        <w:t>L’analisi del TAR prosegue poi con i successivi motivi di doglianza. Argoment</w:t>
      </w:r>
      <w:r w:rsidR="00EF03FB">
        <w:t>i</w:t>
      </w:r>
      <w:r>
        <w:t xml:space="preserve"> che </w:t>
      </w:r>
      <w:r w:rsidR="00EF03FB">
        <w:t>tratteremo nella</w:t>
      </w:r>
      <w:r>
        <w:t xml:space="preserve"> seconda parte di questo approfondimento.</w:t>
      </w:r>
    </w:p>
    <w:p w14:paraId="09FE5FB3" w14:textId="77777777" w:rsidR="00552588" w:rsidRDefault="00552588" w:rsidP="008963A1">
      <w:pPr>
        <w:jc w:val="both"/>
      </w:pPr>
    </w:p>
    <w:sectPr w:rsidR="0055258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089"/>
    <w:rsid w:val="00055E08"/>
    <w:rsid w:val="00060149"/>
    <w:rsid w:val="000955E0"/>
    <w:rsid w:val="001439E3"/>
    <w:rsid w:val="00285089"/>
    <w:rsid w:val="002A659E"/>
    <w:rsid w:val="0043112F"/>
    <w:rsid w:val="00552588"/>
    <w:rsid w:val="005629B1"/>
    <w:rsid w:val="005C69C0"/>
    <w:rsid w:val="00681A45"/>
    <w:rsid w:val="006862D0"/>
    <w:rsid w:val="00722F24"/>
    <w:rsid w:val="007513A8"/>
    <w:rsid w:val="008963A1"/>
    <w:rsid w:val="00D1594F"/>
    <w:rsid w:val="00EF03FB"/>
    <w:rsid w:val="00FD00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4D0C"/>
  <w15:chartTrackingRefBased/>
  <w15:docId w15:val="{0BCBF7BA-57E3-47D6-8800-73DA786E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1358</Words>
  <Characters>7745</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2023-07-26T08:36:00Z</dcterms:created>
  <dcterms:modified xsi:type="dcterms:W3CDTF">2023-07-28T07:41:00Z</dcterms:modified>
</cp:coreProperties>
</file>