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ADB71" w14:textId="3F714B3A" w:rsidR="006862D0" w:rsidRDefault="008963A1">
      <w:r>
        <w:t xml:space="preserve">Titolo: </w:t>
      </w:r>
      <w:r w:rsidR="006862D0">
        <w:tab/>
      </w:r>
      <w:r>
        <w:t xml:space="preserve">il TAR della Lombardia </w:t>
      </w:r>
      <w:r w:rsidR="00EF03FB">
        <w:t xml:space="preserve">pone dei punti fermi </w:t>
      </w:r>
      <w:r>
        <w:t xml:space="preserve">nella </w:t>
      </w:r>
      <w:r w:rsidR="00EF03FB">
        <w:t>travagliata</w:t>
      </w:r>
      <w:r>
        <w:t xml:space="preserve"> disciplina del CUP</w:t>
      </w:r>
      <w:r w:rsidR="00EF03FB">
        <w:t xml:space="preserve"> – </w:t>
      </w:r>
    </w:p>
    <w:p w14:paraId="4F85B97C" w14:textId="4E8C1B31" w:rsidR="00060149" w:rsidRDefault="00EF03FB" w:rsidP="006862D0">
      <w:pPr>
        <w:ind w:firstLine="708"/>
      </w:pPr>
      <w:r>
        <w:t xml:space="preserve">parte </w:t>
      </w:r>
      <w:r w:rsidR="00103295">
        <w:t>seconda</w:t>
      </w:r>
      <w:r w:rsidR="006862D0">
        <w:t xml:space="preserve">: la questione di </w:t>
      </w:r>
      <w:r w:rsidR="00531056">
        <w:t>incompetenza della Giunta alla determinazione delle tariffe</w:t>
      </w:r>
    </w:p>
    <w:p w14:paraId="1A7FFBB6" w14:textId="77777777" w:rsidR="00EF03FB" w:rsidRDefault="00EF03FB" w:rsidP="008963A1">
      <w:pPr>
        <w:jc w:val="both"/>
      </w:pPr>
    </w:p>
    <w:p w14:paraId="344C027D" w14:textId="38D128EE" w:rsidR="006862D0" w:rsidRDefault="00531056" w:rsidP="00531056">
      <w:pPr>
        <w:jc w:val="both"/>
      </w:pPr>
      <w:r>
        <w:t xml:space="preserve">Con questa seconda parte, esaminiamo la sentenza del TAR Lombardia sui motivi di </w:t>
      </w:r>
      <w:r w:rsidR="007255F7">
        <w:t>doglianza presentati</w:t>
      </w:r>
      <w:r>
        <w:t xml:space="preserve"> dalle società di pubblicità esterna </w:t>
      </w:r>
      <w:r>
        <w:t>per l’annullamento dei regolamenti adottati da due Comuni per l'applicazione del Canone patrimoniale di concessione, autorizzazione di occupazione ed esposizione pubblicitaria – Canone Unico Patrimoniale</w:t>
      </w:r>
      <w:r>
        <w:t xml:space="preserve">. </w:t>
      </w:r>
    </w:p>
    <w:p w14:paraId="77317378" w14:textId="438404E9" w:rsidR="00531056" w:rsidRDefault="00531056" w:rsidP="007255F7">
      <w:pPr>
        <w:jc w:val="both"/>
      </w:pPr>
      <w:r>
        <w:t xml:space="preserve">Dopo la questione preliminare sollevata per presunto vizio di </w:t>
      </w:r>
      <w:r w:rsidRPr="00552588">
        <w:t>incostituzionalità</w:t>
      </w:r>
      <w:r>
        <w:t xml:space="preserve"> in relazione all’articolo 23 della Costituzione</w:t>
      </w:r>
      <w:r>
        <w:t xml:space="preserve">, il TAR di </w:t>
      </w:r>
      <w:r w:rsidR="00F117A5">
        <w:t>Milano esamina</w:t>
      </w:r>
      <w:r w:rsidR="007255F7">
        <w:t xml:space="preserve"> i diversi motivi di ricorso presentati, </w:t>
      </w:r>
      <w:r w:rsidR="00367F5E">
        <w:t xml:space="preserve">il </w:t>
      </w:r>
      <w:r w:rsidR="007255F7">
        <w:t xml:space="preserve">primo dei quali </w:t>
      </w:r>
      <w:r w:rsidR="00367F5E">
        <w:t>verte sulla</w:t>
      </w:r>
      <w:r w:rsidR="007255F7">
        <w:t xml:space="preserve"> </w:t>
      </w:r>
      <w:bookmarkStart w:id="0" w:name="_Hlk141432443"/>
      <w:r w:rsidR="007255F7">
        <w:t xml:space="preserve">presunta incompetenza </w:t>
      </w:r>
      <w:r w:rsidR="007255F7">
        <w:t>della Giunta comunale alla determinazione delle tariffe</w:t>
      </w:r>
      <w:bookmarkEnd w:id="0"/>
      <w:r w:rsidR="007255F7">
        <w:t xml:space="preserve"> in sede di</w:t>
      </w:r>
      <w:r w:rsidR="007255F7">
        <w:t xml:space="preserve"> </w:t>
      </w:r>
      <w:r w:rsidR="007255F7">
        <w:t>prima applicazione del canone</w:t>
      </w:r>
      <w:r w:rsidR="007255F7">
        <w:t xml:space="preserve">. </w:t>
      </w:r>
    </w:p>
    <w:p w14:paraId="08DA5C98" w14:textId="31E5A575" w:rsidR="00367F5E" w:rsidRPr="00367F5E" w:rsidRDefault="00367F5E" w:rsidP="004E4FA3">
      <w:pPr>
        <w:jc w:val="both"/>
        <w:rPr>
          <w:b/>
          <w:bCs/>
        </w:rPr>
      </w:pPr>
      <w:r w:rsidRPr="00367F5E">
        <w:rPr>
          <w:b/>
          <w:bCs/>
        </w:rPr>
        <w:t>La questione sulla</w:t>
      </w:r>
      <w:r w:rsidRPr="00367F5E">
        <w:rPr>
          <w:b/>
          <w:bCs/>
        </w:rPr>
        <w:t xml:space="preserve"> incompetenza della Giunta comunale alla determinazione delle tariffe</w:t>
      </w:r>
    </w:p>
    <w:p w14:paraId="5213577C" w14:textId="6881DC1C" w:rsidR="004E4FA3" w:rsidRDefault="007255F7" w:rsidP="004E4FA3">
      <w:pPr>
        <w:jc w:val="both"/>
      </w:pPr>
      <w:r>
        <w:t>Su</w:t>
      </w:r>
      <w:r w:rsidR="00367F5E">
        <w:t xml:space="preserve">l tema </w:t>
      </w:r>
      <w:r>
        <w:t xml:space="preserve">i giudici non hanno </w:t>
      </w:r>
      <w:r w:rsidR="00367F5E">
        <w:t xml:space="preserve">avuto </w:t>
      </w:r>
      <w:r>
        <w:t>dubbi</w:t>
      </w:r>
      <w:r w:rsidR="00367F5E">
        <w:t>o</w:t>
      </w:r>
      <w:r>
        <w:t xml:space="preserve"> nel ritenere radicata in capo alla Giunta Municipale </w:t>
      </w:r>
      <w:r w:rsidR="00F117A5">
        <w:t xml:space="preserve">la </w:t>
      </w:r>
      <w:r w:rsidR="004E4FA3">
        <w:t xml:space="preserve">potestà definitoria delle tariffe del Canone Unico </w:t>
      </w:r>
      <w:r w:rsidR="004E4FA3">
        <w:t>in virtù delle</w:t>
      </w:r>
      <w:r w:rsidR="004E4FA3">
        <w:t xml:space="preserve"> </w:t>
      </w:r>
      <w:r w:rsidR="004E4FA3">
        <w:t>previsioni di cui al Testo unico degli enti locali (D. Lgs. 267/2000)</w:t>
      </w:r>
      <w:r w:rsidR="004E4FA3">
        <w:t>.</w:t>
      </w:r>
    </w:p>
    <w:p w14:paraId="4F7E9336" w14:textId="0A65314D" w:rsidR="007255F7" w:rsidRDefault="004E4FA3" w:rsidP="004E4FA3">
      <w:pPr>
        <w:jc w:val="both"/>
      </w:pPr>
      <w:r>
        <w:t xml:space="preserve">La </w:t>
      </w:r>
      <w:r>
        <w:t>Giunta Municipale,</w:t>
      </w:r>
      <w:r>
        <w:t xml:space="preserve"> viene considerato </w:t>
      </w:r>
      <w:r>
        <w:t>organo a competenza residuale ai sensi dell’art. 48 comma 2 D. Lgs.</w:t>
      </w:r>
      <w:r>
        <w:t xml:space="preserve"> </w:t>
      </w:r>
      <w:r>
        <w:t xml:space="preserve">267/2000: </w:t>
      </w:r>
      <w:r w:rsidRPr="004E4FA3">
        <w:rPr>
          <w:i/>
          <w:iCs/>
        </w:rPr>
        <w:t>«2. La giunta compie tutti gli atti rientranti ai sensi dell'art. 107, commi</w:t>
      </w:r>
      <w:r w:rsidRPr="004E4FA3">
        <w:rPr>
          <w:i/>
          <w:iCs/>
        </w:rPr>
        <w:t xml:space="preserve"> </w:t>
      </w:r>
      <w:r w:rsidRPr="004E4FA3">
        <w:rPr>
          <w:i/>
          <w:iCs/>
        </w:rPr>
        <w:t>1 e 2, nelle funzioni degli organi di governo, che non siano riservati dalla legge al</w:t>
      </w:r>
      <w:r w:rsidRPr="004E4FA3">
        <w:rPr>
          <w:i/>
          <w:iCs/>
        </w:rPr>
        <w:t xml:space="preserve"> </w:t>
      </w:r>
      <w:r w:rsidRPr="004E4FA3">
        <w:rPr>
          <w:i/>
          <w:iCs/>
        </w:rPr>
        <w:t>consiglio e che non ricadano nelle competenze, previste dalle leggi o dallo statuto,</w:t>
      </w:r>
      <w:r w:rsidRPr="004E4FA3">
        <w:rPr>
          <w:i/>
          <w:iCs/>
        </w:rPr>
        <w:t xml:space="preserve"> </w:t>
      </w:r>
      <w:r w:rsidRPr="004E4FA3">
        <w:rPr>
          <w:i/>
          <w:iCs/>
        </w:rPr>
        <w:t>del sindaco o del presidente della provincia o degli organi di decentramento […]».</w:t>
      </w:r>
      <w:r w:rsidR="00F117A5">
        <w:t xml:space="preserve"> </w:t>
      </w:r>
      <w:r>
        <w:t xml:space="preserve">Non essendo </w:t>
      </w:r>
      <w:r>
        <w:t>la definizione delle tariffe</w:t>
      </w:r>
      <w:r>
        <w:t xml:space="preserve"> pertanto riservata al Consiglio Comunale, dovrà intendersi di competenza della Giunta come organo a competenza residuale.</w:t>
      </w:r>
    </w:p>
    <w:p w14:paraId="7B9498AF" w14:textId="19B77F33" w:rsidR="004E4FA3" w:rsidRDefault="004E4FA3" w:rsidP="004E4FA3">
      <w:pPr>
        <w:jc w:val="both"/>
      </w:pPr>
      <w:r>
        <w:t>Nella sentenza si riporta il contenuto di una Cassazione Civile del 2017 nella quale si disponeva</w:t>
      </w:r>
      <w:r w:rsidR="00367F5E">
        <w:t xml:space="preserve"> che</w:t>
      </w:r>
      <w:r>
        <w:t>:”</w:t>
      </w:r>
      <w:r w:rsidRPr="004E4FA3">
        <w:t xml:space="preserve"> </w:t>
      </w:r>
      <w:r w:rsidRPr="00367F5E">
        <w:rPr>
          <w:i/>
          <w:iCs/>
        </w:rPr>
        <w:t>«Rientra nella competenza della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giunta comunale la determinazione delle tariffe della Tarsu, atteso che l'art. 42,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comma 2, lett. a), in combinato disposto con l'art. 48, comma 3, del d. lgs. n. 267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del 2000, nello stabilire che la potestà regolamentare del Consiglio comunale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comprende anche l'istituzione e l'ordinamento dei tributi, ai sensi dell'art. 42,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comma 2, lett. f), esclude espressamente dalla potestà regolamentare del consiglio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comunale la determinazione delle aliquote dei tributi, con esclusione della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determinazione delle relative aliquote. Pertanto, alla Giunta comunale competono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 xml:space="preserve">tutti gli atti rientranti, ai sensi dell'art. 107, commi 1 e 2, del </w:t>
      </w:r>
      <w:proofErr w:type="spellStart"/>
      <w:r w:rsidRPr="00367F5E">
        <w:rPr>
          <w:i/>
          <w:iCs/>
        </w:rPr>
        <w:t>t.u.e.l</w:t>
      </w:r>
      <w:proofErr w:type="spellEnd"/>
      <w:r w:rsidRPr="00367F5E">
        <w:rPr>
          <w:i/>
          <w:iCs/>
        </w:rPr>
        <w:t>., nelle funzioni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degli organi di governo, che non siano riservati dalla legge al Consiglio e che non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ricadano nelle competenze, previste dalle leggi o dallo statuto, del sindaco o del</w:t>
      </w:r>
      <w:r w:rsidRPr="00367F5E">
        <w:rPr>
          <w:i/>
          <w:iCs/>
        </w:rPr>
        <w:t xml:space="preserve"> </w:t>
      </w:r>
      <w:r w:rsidRPr="00367F5E">
        <w:rPr>
          <w:i/>
          <w:iCs/>
        </w:rPr>
        <w:t>presidente della Provincia o degli organi di decentramento (art. 48, comma 2, del</w:t>
      </w:r>
      <w:r w:rsidRPr="00367F5E">
        <w:rPr>
          <w:i/>
          <w:iCs/>
        </w:rPr>
        <w:t xml:space="preserve"> </w:t>
      </w:r>
      <w:proofErr w:type="spellStart"/>
      <w:r w:rsidRPr="00367F5E">
        <w:rPr>
          <w:i/>
          <w:iCs/>
        </w:rPr>
        <w:t>t.u.e.l</w:t>
      </w:r>
      <w:proofErr w:type="spellEnd"/>
      <w:r w:rsidRPr="00367F5E">
        <w:rPr>
          <w:i/>
          <w:iCs/>
        </w:rPr>
        <w:t xml:space="preserve">.)» (Cassazione civile, Sez. </w:t>
      </w:r>
      <w:proofErr w:type="spellStart"/>
      <w:r w:rsidRPr="00367F5E">
        <w:rPr>
          <w:i/>
          <w:iCs/>
        </w:rPr>
        <w:t>Trib</w:t>
      </w:r>
      <w:proofErr w:type="spellEnd"/>
      <w:r w:rsidRPr="00367F5E">
        <w:rPr>
          <w:i/>
          <w:iCs/>
        </w:rPr>
        <w:t>., 27 settembre 2017 n. 22545).</w:t>
      </w:r>
      <w:r>
        <w:t xml:space="preserve"> </w:t>
      </w:r>
    </w:p>
    <w:p w14:paraId="09FE5FB3" w14:textId="41F4B956" w:rsidR="00552588" w:rsidRDefault="00367F5E" w:rsidP="00367F5E">
      <w:pPr>
        <w:jc w:val="both"/>
        <w:rPr>
          <w:b/>
          <w:bCs/>
        </w:rPr>
      </w:pPr>
      <w:r w:rsidRPr="008275EB">
        <w:rPr>
          <w:b/>
          <w:bCs/>
        </w:rPr>
        <w:t xml:space="preserve">La questione relativa il </w:t>
      </w:r>
      <w:r w:rsidRPr="008275EB">
        <w:rPr>
          <w:b/>
          <w:bCs/>
        </w:rPr>
        <w:t>principio dell’invarianza del gettito</w:t>
      </w:r>
    </w:p>
    <w:p w14:paraId="5882F82E" w14:textId="7E1CD82B" w:rsidR="008275EB" w:rsidRDefault="008275EB" w:rsidP="008275EB">
      <w:pPr>
        <w:jc w:val="both"/>
        <w:rPr>
          <w:rFonts w:ascii="Times New Roman" w:hAnsi="Times New Roman" w:cs="Times New Roman"/>
          <w:kern w:val="0"/>
          <w:sz w:val="30"/>
          <w:szCs w:val="30"/>
        </w:rPr>
      </w:pPr>
      <w:r w:rsidRPr="008275EB">
        <w:t>Con il secondo motivo di gravame si contestava la ritenuta violazione del</w:t>
      </w:r>
      <w:r>
        <w:t xml:space="preserve"> </w:t>
      </w:r>
      <w:r w:rsidRPr="008275EB">
        <w:t>principio dell’invarianza del gettito, fissato dall’art. 1 comma 817 L. 160/2019.</w:t>
      </w:r>
      <w:r w:rsidRPr="008275EB">
        <w:rPr>
          <w:rFonts w:ascii="Times New Roman" w:hAnsi="Times New Roman" w:cs="Times New Roman"/>
          <w:kern w:val="0"/>
          <w:sz w:val="30"/>
          <w:szCs w:val="30"/>
        </w:rPr>
        <w:t xml:space="preserve"> </w:t>
      </w:r>
      <w:r>
        <w:rPr>
          <w:rFonts w:ascii="Times New Roman" w:hAnsi="Times New Roman" w:cs="Times New Roman"/>
          <w:kern w:val="0"/>
          <w:sz w:val="30"/>
          <w:szCs w:val="30"/>
        </w:rPr>
        <w:t xml:space="preserve"> </w:t>
      </w:r>
    </w:p>
    <w:p w14:paraId="42939CE7" w14:textId="38CD930B" w:rsidR="008275EB" w:rsidRDefault="008275EB" w:rsidP="008275EB">
      <w:pPr>
        <w:jc w:val="both"/>
      </w:pPr>
      <w:r>
        <w:t>L</w:t>
      </w:r>
      <w:r w:rsidRPr="008275EB">
        <w:t>’art</w:t>
      </w:r>
      <w:r>
        <w:t>icolo</w:t>
      </w:r>
      <w:r w:rsidRPr="008275EB">
        <w:t xml:space="preserve"> 1 comma </w:t>
      </w:r>
      <w:proofErr w:type="gramStart"/>
      <w:r w:rsidRPr="008275EB">
        <w:t>817  stabilisce</w:t>
      </w:r>
      <w:proofErr w:type="gramEnd"/>
      <w:r w:rsidRPr="008275EB">
        <w:t xml:space="preserve"> che:</w:t>
      </w:r>
      <w:r w:rsidRPr="008275EB">
        <w:rPr>
          <w:i/>
          <w:iCs/>
        </w:rPr>
        <w:t xml:space="preserve"> «Il canone è disciplinato dagli enti</w:t>
      </w:r>
      <w:r w:rsidRPr="008275EB">
        <w:rPr>
          <w:i/>
          <w:iCs/>
        </w:rPr>
        <w:t xml:space="preserve"> </w:t>
      </w:r>
      <w:r w:rsidRPr="008275EB">
        <w:rPr>
          <w:i/>
          <w:iCs/>
        </w:rPr>
        <w:t>in modo da assicurare un gettito pari a quello conseguito dai canoni e dai tributi</w:t>
      </w:r>
      <w:r w:rsidRPr="008275EB">
        <w:rPr>
          <w:i/>
          <w:iCs/>
        </w:rPr>
        <w:t xml:space="preserve"> </w:t>
      </w:r>
      <w:r w:rsidRPr="008275EB">
        <w:rPr>
          <w:i/>
          <w:iCs/>
        </w:rPr>
        <w:t>che sono sostituiti dal canone, fatta salva, in ogni caso, la possibilità di variare il</w:t>
      </w:r>
      <w:r w:rsidRPr="008275EB">
        <w:rPr>
          <w:i/>
          <w:iCs/>
        </w:rPr>
        <w:t xml:space="preserve"> </w:t>
      </w:r>
      <w:r w:rsidRPr="008275EB">
        <w:rPr>
          <w:i/>
          <w:iCs/>
        </w:rPr>
        <w:t>gettito attraverso la modifica delle tariffe»</w:t>
      </w:r>
      <w:r>
        <w:t xml:space="preserve">. Articolo della disciplina CUP delicato che ha visto nel corso della breve storia di questa entrata diverse interpretazioni e motivi di visioni contrapposte. </w:t>
      </w:r>
    </w:p>
    <w:p w14:paraId="49EE2B47" w14:textId="77777777" w:rsidR="00607C5D" w:rsidRDefault="00607C5D" w:rsidP="00607C5D">
      <w:pPr>
        <w:jc w:val="both"/>
      </w:pPr>
      <w:r>
        <w:t>Sulla base di questa disposizione, t</w:t>
      </w:r>
      <w:r>
        <w:t>utti gli enti interessati, nel 2021 dovevano impostare</w:t>
      </w:r>
      <w:r>
        <w:t xml:space="preserve"> </w:t>
      </w:r>
      <w:r>
        <w:t>la nuova entrata partendo da una base certa, formata dalla sommatoria dei precedenti gettiti ottenuti</w:t>
      </w:r>
      <w:r>
        <w:t xml:space="preserve"> </w:t>
      </w:r>
      <w:r>
        <w:t>dalla gestione dei prelievi adottati fino al 2020, sia per le occupazioni di suolo pubblico, che per le</w:t>
      </w:r>
      <w:r>
        <w:t xml:space="preserve"> </w:t>
      </w:r>
      <w:r>
        <w:t xml:space="preserve">esposizioni pubblicitarie. Lo </w:t>
      </w:r>
      <w:r>
        <w:lastRenderedPageBreak/>
        <w:t>stesso comma, dopo aver stabilito il criterio della parità di gettito,</w:t>
      </w:r>
      <w:r>
        <w:t xml:space="preserve"> </w:t>
      </w:r>
      <w:r>
        <w:t>ha immediatamente precisato che rimane salva la possibilità, per gli stessi enti, di variarlo attraverso</w:t>
      </w:r>
      <w:r>
        <w:t xml:space="preserve"> </w:t>
      </w:r>
      <w:r>
        <w:t>la modifica delle tariffe.</w:t>
      </w:r>
      <w:r>
        <w:t xml:space="preserve"> </w:t>
      </w:r>
      <w:r>
        <w:t>Questa, che a prima vista sembra una contraddizione espressa all'interno della stessa frase, in realtà</w:t>
      </w:r>
      <w:r>
        <w:t xml:space="preserve"> </w:t>
      </w:r>
      <w:r>
        <w:t>deve essere letta come la volontà di definire una disciplina che da una parte fosse coerente con i</w:t>
      </w:r>
      <w:r>
        <w:t xml:space="preserve"> </w:t>
      </w:r>
      <w:r>
        <w:t>precedenti prelievi, e che dall'altra garantisse ai soggetti attivi della nuova entrata patrimoniale,</w:t>
      </w:r>
      <w:r>
        <w:t xml:space="preserve"> </w:t>
      </w:r>
      <w:r>
        <w:t>quell'autonomia e potestà regolamentare in materia di proprie entrate, riconosciuta dall'articolo 52</w:t>
      </w:r>
      <w:r>
        <w:t xml:space="preserve"> </w:t>
      </w:r>
      <w:r>
        <w:t>del Dlgs 446/1997.</w:t>
      </w:r>
      <w:r>
        <w:t xml:space="preserve"> </w:t>
      </w:r>
    </w:p>
    <w:p w14:paraId="7425AEAF" w14:textId="12A11D33" w:rsidR="00607C5D" w:rsidRDefault="00607C5D" w:rsidP="00607C5D">
      <w:pPr>
        <w:jc w:val="both"/>
      </w:pPr>
      <w:r>
        <w:t>L'obiettivo dichiarato del Legislatore era quello di riunificare le entrate senza stravolgerle, lasciando</w:t>
      </w:r>
      <w:r>
        <w:t xml:space="preserve"> </w:t>
      </w:r>
      <w:r>
        <w:t>comunque quell'autonomia agli enti territoriali nel regolarla in base alle proprie caratteristiche e alla</w:t>
      </w:r>
      <w:r>
        <w:t xml:space="preserve"> </w:t>
      </w:r>
      <w:r>
        <w:t>propria storia.</w:t>
      </w:r>
    </w:p>
    <w:p w14:paraId="2873157C" w14:textId="32C4B0CB" w:rsidR="0023006F" w:rsidRDefault="0023006F" w:rsidP="0023006F">
      <w:pPr>
        <w:jc w:val="both"/>
        <w:rPr>
          <w:i/>
          <w:iCs/>
        </w:rPr>
      </w:pPr>
      <w:r>
        <w:t>In questa direzione sono andati i Giudici del TAR milanese. Nella sentenza si legge: “</w:t>
      </w:r>
      <w:r w:rsidRPr="0023006F">
        <w:rPr>
          <w:i/>
          <w:iCs/>
        </w:rPr>
        <w:t>Dalla lettura della norma emerge che la disposizione impone agli enti locali il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vincolo di disciplinare il canone in modo da assicurare un gettito pari a quello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conseguito dai tributi che lo stesso sostituisce (c.d. invarianza del gettito in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aumento), ma nel contempo riconosce agli stessi enti locali la possibilità, per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raggiungere detto obiettivo, di variare il gettito modificando le tariffe base stabilite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dal legislatore nei commi 826 ("tariffa standard annua") e 827 ("tariffa standard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giornaliera"), in tal modo attribuendo all’Amministrazione locale un potere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discrezionale di modulare il canone in funzione delle specificità della singola realtà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territoriale, in applicazione del principio di autonomia finanziaria di entrata di cui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all'art. 119 Cost. (TAR Lazio, Roma, II, 4 aprile 2022, n. 3855).</w:t>
      </w:r>
      <w:r w:rsidRPr="0023006F">
        <w:rPr>
          <w:i/>
          <w:iCs/>
        </w:rPr>
        <w:t>”</w:t>
      </w:r>
    </w:p>
    <w:p w14:paraId="48608E33" w14:textId="3D70CF3F" w:rsidR="0023006F" w:rsidRDefault="0023006F" w:rsidP="0023006F">
      <w:pPr>
        <w:jc w:val="both"/>
      </w:pPr>
      <w:r>
        <w:t xml:space="preserve">I Giudici richiamano una precedente sentenza del TAR Lazio che si esprimeva proprio su questi principi. In questo senso, per i giudici milanesi, </w:t>
      </w:r>
      <w:r>
        <w:t>l’invarianza prevista dal riportato comma 817 non va riferita ai</w:t>
      </w:r>
      <w:r>
        <w:t xml:space="preserve"> </w:t>
      </w:r>
      <w:r>
        <w:t>singoli utenti, né a ciascun impianto pubblicitario o alle diverse fattispecie di</w:t>
      </w:r>
      <w:r>
        <w:t xml:space="preserve"> </w:t>
      </w:r>
      <w:r>
        <w:t>occupazione del suolo pubblico, il cui eventuale incremento degli importi dovuti a</w:t>
      </w:r>
      <w:r>
        <w:t xml:space="preserve"> </w:t>
      </w:r>
      <w:r>
        <w:t>seguito dell’introduzione del CU non ha autonomo rilievo rispetto alla valutazione</w:t>
      </w:r>
      <w:r>
        <w:t xml:space="preserve"> </w:t>
      </w:r>
      <w:r>
        <w:t>dell’osservanza del vincolo recato dal succitato comma 817. Ciò che occorre</w:t>
      </w:r>
      <w:r>
        <w:t xml:space="preserve"> </w:t>
      </w:r>
      <w:r>
        <w:t>considerare è invece il prelievo complessivo conseguito dall’Ente, che mediante il</w:t>
      </w:r>
      <w:r>
        <w:t xml:space="preserve"> </w:t>
      </w:r>
      <w:r>
        <w:t>CU non può riscuotere, complessivamente, più di quanto incamerato con i tributi e</w:t>
      </w:r>
      <w:r>
        <w:t xml:space="preserve"> </w:t>
      </w:r>
      <w:r>
        <w:t>contributi dismessi</w:t>
      </w:r>
      <w:r>
        <w:t>.</w:t>
      </w:r>
    </w:p>
    <w:p w14:paraId="376CA836" w14:textId="5DB18D97" w:rsidR="0023006F" w:rsidRDefault="0023006F" w:rsidP="0023006F">
      <w:pPr>
        <w:jc w:val="both"/>
        <w:rPr>
          <w:i/>
          <w:iCs/>
        </w:rPr>
      </w:pPr>
      <w:r>
        <w:t xml:space="preserve">Nella sentenza si richiama anche la sentenza del TAR Veneto n. 1428 del 2021 che disponeva: </w:t>
      </w:r>
      <w:r w:rsidRPr="0023006F">
        <w:rPr>
          <w:i/>
          <w:iCs/>
        </w:rPr>
        <w:t>“…</w:t>
      </w:r>
      <w:r w:rsidRPr="0023006F">
        <w:rPr>
          <w:i/>
          <w:iCs/>
        </w:rPr>
        <w:t>Il legislatore, invece, ha chiaramente delimitato i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poteri dei Comuni "infra limite di gettito", da un lato, attribuendo agli stessi poteri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regolamentari, affinché possano dettare la necessaria disciplina secondaria idonea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a modulare l'applicazione del canone in funzione delle specificità della singola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realtà territoriale; dall'altro lato, individuando anche i criteri e parametri</w:t>
      </w:r>
      <w:r w:rsidRPr="0023006F">
        <w:rPr>
          <w:i/>
          <w:iCs/>
        </w:rPr>
        <w:t xml:space="preserve"> </w:t>
      </w:r>
      <w:r w:rsidRPr="0023006F">
        <w:rPr>
          <w:i/>
          <w:iCs/>
        </w:rPr>
        <w:t>utilizzabili dagli Enti per procedere a tale modulazione applicativa</w:t>
      </w:r>
      <w:r w:rsidRPr="0023006F">
        <w:rPr>
          <w:i/>
          <w:iCs/>
        </w:rPr>
        <w:t>”</w:t>
      </w:r>
    </w:p>
    <w:p w14:paraId="156DB0E8" w14:textId="7A378894" w:rsidR="0023006F" w:rsidRDefault="0023006F" w:rsidP="0023006F">
      <w:pPr>
        <w:jc w:val="both"/>
      </w:pPr>
      <w:r>
        <w:t>Oggi, con questa sentenza che completa le precedenti emesse dai TARI Lazio e Veneto, abbiamo una certezza sulla possibilità data agli enti locali di definire e variare le tariffe del Canone Unico in base alle proprie specificità.</w:t>
      </w:r>
    </w:p>
    <w:p w14:paraId="199E1FD1" w14:textId="726DA86F" w:rsidR="0023006F" w:rsidRDefault="00901AEA" w:rsidP="0023006F">
      <w:pPr>
        <w:jc w:val="both"/>
        <w:rPr>
          <w:b/>
          <w:bCs/>
        </w:rPr>
      </w:pPr>
      <w:r w:rsidRPr="008275EB">
        <w:rPr>
          <w:b/>
          <w:bCs/>
        </w:rPr>
        <w:t xml:space="preserve">La questione relativa </w:t>
      </w:r>
      <w:r>
        <w:rPr>
          <w:b/>
          <w:bCs/>
        </w:rPr>
        <w:t>le tariffe differenziate rispetto a quella standard</w:t>
      </w:r>
    </w:p>
    <w:p w14:paraId="5A4C7B6E" w14:textId="77777777" w:rsidR="00901AEA" w:rsidRDefault="00901AEA" w:rsidP="00901AEA">
      <w:pPr>
        <w:jc w:val="both"/>
      </w:pPr>
      <w:r w:rsidRPr="00901AEA">
        <w:t xml:space="preserve">Strettamente collegato al secondo motivo di doglianza, </w:t>
      </w:r>
      <w:r>
        <w:t xml:space="preserve">i giudici del TAR devono esaminare l’eccezione mossa dai ricorrenti circa la presunta </w:t>
      </w:r>
      <w:r>
        <w:t>illegittimità del regolamento comunale laddove</w:t>
      </w:r>
      <w:r>
        <w:t xml:space="preserve"> </w:t>
      </w:r>
      <w:r>
        <w:t>introduceva delle tariffe differenziate rispetto a quella</w:t>
      </w:r>
      <w:r>
        <w:t xml:space="preserve"> </w:t>
      </w:r>
      <w:r>
        <w:t>standard (sia annuale che giornaliera) con riferimento a fattispecie (ad esempio, la</w:t>
      </w:r>
      <w:r>
        <w:t xml:space="preserve"> </w:t>
      </w:r>
      <w:r>
        <w:t>pubblicità luminosa) non specificamente contemplate nella legge n. 160/2019</w:t>
      </w:r>
      <w:r>
        <w:t>.</w:t>
      </w:r>
    </w:p>
    <w:p w14:paraId="244ABD9D" w14:textId="77777777" w:rsidR="00901AEA" w:rsidRDefault="00901AEA" w:rsidP="00901AEA">
      <w:pPr>
        <w:jc w:val="both"/>
        <w:rPr>
          <w:i/>
          <w:iCs/>
        </w:rPr>
      </w:pPr>
      <w:r>
        <w:t xml:space="preserve">Anche questo motivo viene respinto dai giudici che sottolineano giustamente come: </w:t>
      </w:r>
      <w:r w:rsidRPr="00901AEA">
        <w:rPr>
          <w:i/>
          <w:iCs/>
        </w:rPr>
        <w:t>“</w:t>
      </w:r>
      <w:r w:rsidRPr="00901AEA">
        <w:rPr>
          <w:i/>
          <w:iCs/>
        </w:rPr>
        <w:t>le</w:t>
      </w:r>
      <w:r w:rsidRPr="00901AEA">
        <w:rPr>
          <w:i/>
          <w:iCs/>
        </w:rPr>
        <w:t xml:space="preserve"> </w:t>
      </w:r>
      <w:r w:rsidRPr="00901AEA">
        <w:rPr>
          <w:i/>
          <w:iCs/>
        </w:rPr>
        <w:t>tariffe standard determinate sulla base delle indicazioni legislative possono essere</w:t>
      </w:r>
      <w:r w:rsidRPr="00901AEA">
        <w:rPr>
          <w:i/>
          <w:iCs/>
        </w:rPr>
        <w:t xml:space="preserve"> </w:t>
      </w:r>
      <w:r w:rsidRPr="00901AEA">
        <w:rPr>
          <w:i/>
          <w:iCs/>
        </w:rPr>
        <w:t>modificate dagli enti locali, onde garantire l’osservanza del vincolo di invarianza</w:t>
      </w:r>
      <w:r w:rsidRPr="00901AEA">
        <w:rPr>
          <w:i/>
          <w:iCs/>
        </w:rPr>
        <w:t xml:space="preserve"> </w:t>
      </w:r>
      <w:r w:rsidRPr="00901AEA">
        <w:rPr>
          <w:i/>
          <w:iCs/>
        </w:rPr>
        <w:t>posto dal medesimo comma, nell’esercizio della potestà regolamentare loro</w:t>
      </w:r>
      <w:r w:rsidRPr="00901AEA">
        <w:rPr>
          <w:i/>
          <w:iCs/>
        </w:rPr>
        <w:t xml:space="preserve"> </w:t>
      </w:r>
      <w:r w:rsidRPr="00901AEA">
        <w:rPr>
          <w:i/>
          <w:iCs/>
        </w:rPr>
        <w:t>riconosciuta (art. 1 comma 821 cit.; art. 119 della Costituzione).</w:t>
      </w:r>
      <w:r>
        <w:rPr>
          <w:i/>
          <w:iCs/>
        </w:rPr>
        <w:t>”</w:t>
      </w:r>
    </w:p>
    <w:p w14:paraId="008A895D" w14:textId="22A0C977" w:rsidR="00901AEA" w:rsidRDefault="00901AEA" w:rsidP="00901AEA">
      <w:pPr>
        <w:jc w:val="both"/>
        <w:rPr>
          <w:i/>
          <w:iCs/>
        </w:rPr>
      </w:pPr>
      <w:r>
        <w:t xml:space="preserve">Tematica che abbiamo già affrontato con l’approfondimento dal titolo </w:t>
      </w:r>
      <w:r w:rsidRPr="00901AEA">
        <w:rPr>
          <w:i/>
          <w:iCs/>
        </w:rPr>
        <w:t>“</w:t>
      </w:r>
      <w:r w:rsidRPr="00901AEA">
        <w:rPr>
          <w:i/>
          <w:iCs/>
        </w:rPr>
        <w:t>Legittimo l’uso di coefficienti moltiplicatori nelle tariffe del</w:t>
      </w:r>
      <w:r w:rsidRPr="00901AEA">
        <w:rPr>
          <w:i/>
          <w:iCs/>
        </w:rPr>
        <w:t xml:space="preserve"> </w:t>
      </w:r>
      <w:r w:rsidRPr="00901AEA">
        <w:rPr>
          <w:i/>
          <w:iCs/>
        </w:rPr>
        <w:t>CUP che ha natura patrimoniale anche per la pubblicità</w:t>
      </w:r>
      <w:r w:rsidRPr="00901AEA">
        <w:rPr>
          <w:i/>
          <w:iCs/>
        </w:rPr>
        <w:t>”</w:t>
      </w:r>
      <w:r>
        <w:t xml:space="preserve"> pubblicato sulla piattaforma Smart24 in data 18 luglio 2023, a commento di una sentenza TAR della sezione staccata di Brescia </w:t>
      </w:r>
      <w:r>
        <w:lastRenderedPageBreak/>
        <w:t>che ha legittimato l’operato dello stesso Comune di Brescia nel costruire l’impianto</w:t>
      </w:r>
      <w:r>
        <w:t xml:space="preserve"> </w:t>
      </w:r>
      <w:r>
        <w:t>tariffario utilizzando coefficienti per definire le maggiorazioni tariffarie da applicare ad iniziative</w:t>
      </w:r>
      <w:r>
        <w:t xml:space="preserve"> </w:t>
      </w:r>
      <w:r>
        <w:t>pubblicitarie luminose o illuminate, e con esposizione in determinate zone del territorio dove la</w:t>
      </w:r>
      <w:r>
        <w:t xml:space="preserve"> </w:t>
      </w:r>
      <w:r>
        <w:t>visibilità e il conseguente valore sono maggiori rispetto a diverse zone di minor pregio.</w:t>
      </w:r>
      <w:r w:rsidRPr="00901AEA">
        <w:rPr>
          <w:i/>
          <w:iCs/>
        </w:rPr>
        <w:t xml:space="preserve"> </w:t>
      </w:r>
    </w:p>
    <w:p w14:paraId="5A067F6F" w14:textId="06623F73" w:rsidR="00901AEA" w:rsidRPr="003F4102" w:rsidRDefault="003F4102" w:rsidP="003F4102">
      <w:pPr>
        <w:jc w:val="both"/>
      </w:pPr>
      <w:r>
        <w:t xml:space="preserve">I Giudici del TAR di Milano hanno, in continuità con i colleghi di Brescia, ritenuto legittimo </w:t>
      </w:r>
      <w:r>
        <w:t>l’incremento del canone previsto per le</w:t>
      </w:r>
      <w:r>
        <w:t xml:space="preserve"> </w:t>
      </w:r>
      <w:r>
        <w:t>insegne e pannelli di carattere luminoso</w:t>
      </w:r>
      <w:r>
        <w:t xml:space="preserve">. Nella sentenza si specifica: </w:t>
      </w:r>
      <w:r w:rsidRPr="003F4102">
        <w:rPr>
          <w:i/>
          <w:iCs/>
        </w:rPr>
        <w:t>“</w:t>
      </w:r>
      <w:r w:rsidRPr="003F4102">
        <w:rPr>
          <w:i/>
          <w:iCs/>
        </w:rPr>
        <w:t>La norma prevede infatti (art. 1 comma</w:t>
      </w:r>
      <w:r w:rsidRPr="003F4102">
        <w:rPr>
          <w:i/>
          <w:iCs/>
        </w:rPr>
        <w:t xml:space="preserve"> </w:t>
      </w:r>
      <w:r w:rsidRPr="003F4102">
        <w:rPr>
          <w:i/>
          <w:iCs/>
        </w:rPr>
        <w:t>825), per i messaggi pubblicitari, la commisurazione del canone all’estensione della</w:t>
      </w:r>
      <w:r w:rsidRPr="003F4102">
        <w:rPr>
          <w:i/>
          <w:iCs/>
        </w:rPr>
        <w:t xml:space="preserve"> </w:t>
      </w:r>
      <w:r w:rsidRPr="003F4102">
        <w:rPr>
          <w:i/>
          <w:iCs/>
        </w:rPr>
        <w:t>superficie ove gli stessi sono apposti, e dunque all’impatto visivo che detta</w:t>
      </w:r>
      <w:r w:rsidRPr="003F4102">
        <w:rPr>
          <w:i/>
          <w:iCs/>
        </w:rPr>
        <w:t xml:space="preserve"> </w:t>
      </w:r>
      <w:r w:rsidRPr="003F4102">
        <w:rPr>
          <w:i/>
          <w:iCs/>
        </w:rPr>
        <w:t>comunicazione produce sul pubblico, indipendentemente dal tipo di messaggio</w:t>
      </w:r>
      <w:r w:rsidRPr="003F4102">
        <w:rPr>
          <w:i/>
          <w:iCs/>
        </w:rPr>
        <w:t xml:space="preserve"> </w:t>
      </w:r>
      <w:r w:rsidRPr="003F4102">
        <w:rPr>
          <w:i/>
          <w:iCs/>
        </w:rPr>
        <w:t>veicolato, e dunque in termini non legati all’oggetto che viene pubblicizzato e/o al</w:t>
      </w:r>
      <w:r w:rsidRPr="003F4102">
        <w:rPr>
          <w:i/>
          <w:iCs/>
        </w:rPr>
        <w:t xml:space="preserve"> </w:t>
      </w:r>
      <w:r w:rsidRPr="003F4102">
        <w:rPr>
          <w:i/>
          <w:iCs/>
        </w:rPr>
        <w:t>contenuto dell’annuncio diffuso</w:t>
      </w:r>
      <w:r w:rsidRPr="003F4102">
        <w:rPr>
          <w:i/>
          <w:iCs/>
        </w:rPr>
        <w:t>”</w:t>
      </w:r>
    </w:p>
    <w:sectPr w:rsidR="00901AEA" w:rsidRPr="003F41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89"/>
    <w:rsid w:val="00060149"/>
    <w:rsid w:val="000955E0"/>
    <w:rsid w:val="00103295"/>
    <w:rsid w:val="001439E3"/>
    <w:rsid w:val="0023006F"/>
    <w:rsid w:val="00285089"/>
    <w:rsid w:val="002A659E"/>
    <w:rsid w:val="00367F5E"/>
    <w:rsid w:val="003F4102"/>
    <w:rsid w:val="0043112F"/>
    <w:rsid w:val="004E4FA3"/>
    <w:rsid w:val="00531056"/>
    <w:rsid w:val="00552588"/>
    <w:rsid w:val="005629B1"/>
    <w:rsid w:val="005C69C0"/>
    <w:rsid w:val="00607C5D"/>
    <w:rsid w:val="006862D0"/>
    <w:rsid w:val="00722F24"/>
    <w:rsid w:val="007255F7"/>
    <w:rsid w:val="007513A8"/>
    <w:rsid w:val="008275EB"/>
    <w:rsid w:val="008963A1"/>
    <w:rsid w:val="00901AEA"/>
    <w:rsid w:val="00D1594F"/>
    <w:rsid w:val="00EF03FB"/>
    <w:rsid w:val="00F117A5"/>
    <w:rsid w:val="00FD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64D0C"/>
  <w15:chartTrackingRefBased/>
  <w15:docId w15:val="{0BCBF7BA-57E3-47D6-8800-73DA786E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10</cp:revision>
  <dcterms:created xsi:type="dcterms:W3CDTF">2023-07-26T08:36:00Z</dcterms:created>
  <dcterms:modified xsi:type="dcterms:W3CDTF">2023-07-28T10:18:00Z</dcterms:modified>
</cp:coreProperties>
</file>