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71158" w14:textId="52036D18" w:rsidR="00FA360D" w:rsidRDefault="0090090A" w:rsidP="002F246A">
      <w:r>
        <w:t>Titolo: i viadotti autostradali devono pagare il Canone Unico</w:t>
      </w:r>
      <w:r w:rsidR="00B93240">
        <w:t xml:space="preserve"> Patrimoniale</w:t>
      </w:r>
      <w:r w:rsidR="002F246A">
        <w:t xml:space="preserve"> – </w:t>
      </w:r>
      <w:r w:rsidR="002F246A">
        <w:t xml:space="preserve">Tribunale Pavia, Sez. III - Sentenza </w:t>
      </w:r>
      <w:r w:rsidR="002B18FE">
        <w:t xml:space="preserve">n. 1645 </w:t>
      </w:r>
      <w:r w:rsidR="002F246A">
        <w:t>del 27/12/2022</w:t>
      </w:r>
    </w:p>
    <w:p w14:paraId="34B6F89C" w14:textId="77777777" w:rsidR="00037D9D" w:rsidRDefault="00037D9D" w:rsidP="000B0246">
      <w:pPr>
        <w:jc w:val="both"/>
      </w:pPr>
    </w:p>
    <w:p w14:paraId="2690E504" w14:textId="242F53CD" w:rsidR="007D6A2C" w:rsidRDefault="0090090A" w:rsidP="000B0246">
      <w:pPr>
        <w:jc w:val="both"/>
      </w:pPr>
      <w:r>
        <w:t xml:space="preserve">Il contenzioso tra gli Enti locali e le società concessionarie dei </w:t>
      </w:r>
      <w:r w:rsidR="00BF7605">
        <w:t>tratti autostradali</w:t>
      </w:r>
      <w:r>
        <w:t xml:space="preserve"> </w:t>
      </w:r>
      <w:r w:rsidR="00520611">
        <w:t xml:space="preserve">si arricchisce di una nuova sentenza pronunciata lo scorso </w:t>
      </w:r>
      <w:r w:rsidR="002F246A">
        <w:t>27 dicembre 2022</w:t>
      </w:r>
      <w:r w:rsidR="00520611">
        <w:t xml:space="preserve"> </w:t>
      </w:r>
      <w:r w:rsidR="000F43B8">
        <w:t xml:space="preserve">dal Tribunale </w:t>
      </w:r>
      <w:r w:rsidR="002F246A">
        <w:t>di Pavia</w:t>
      </w:r>
      <w:r w:rsidR="000F43B8">
        <w:t>. I giudici nell’occasione hanno r</w:t>
      </w:r>
      <w:r w:rsidR="00520611">
        <w:t xml:space="preserve">igettato il ricorso della società concessionaria del tratto autostradale che attraversa </w:t>
      </w:r>
      <w:r w:rsidR="00B93240">
        <w:t>un’area</w:t>
      </w:r>
      <w:r w:rsidR="002F246A">
        <w:t xml:space="preserve"> comunale</w:t>
      </w:r>
      <w:r w:rsidR="007D6A2C">
        <w:t>,</w:t>
      </w:r>
      <w:r w:rsidR="00520611">
        <w:t xml:space="preserve"> </w:t>
      </w:r>
      <w:r w:rsidR="000F43B8">
        <w:t xml:space="preserve">a cui </w:t>
      </w:r>
      <w:r w:rsidR="002F246A">
        <w:t xml:space="preserve">è stata accertata </w:t>
      </w:r>
      <w:r w:rsidR="00B93240">
        <w:t>l’annualità 2021</w:t>
      </w:r>
      <w:r w:rsidR="002F246A">
        <w:t xml:space="preserve"> in materia di Canone Unico </w:t>
      </w:r>
      <w:r w:rsidR="00B93240">
        <w:t>P</w:t>
      </w:r>
      <w:r w:rsidR="002F246A">
        <w:t>atrimoniale</w:t>
      </w:r>
      <w:r w:rsidR="00C53FB8">
        <w:t xml:space="preserve">. La sentenza segue l’orientamento ormai consolidato che </w:t>
      </w:r>
      <w:r w:rsidR="000F43B8">
        <w:t>vede</w:t>
      </w:r>
      <w:r>
        <w:t xml:space="preserve"> queste </w:t>
      </w:r>
      <w:r w:rsidR="00A34FE8">
        <w:t xml:space="preserve">particolari </w:t>
      </w:r>
      <w:r>
        <w:t xml:space="preserve">occupazioni </w:t>
      </w:r>
      <w:r w:rsidR="00A34FE8">
        <w:t xml:space="preserve">attratte </w:t>
      </w:r>
      <w:r w:rsidR="000B0246">
        <w:t xml:space="preserve">nel </w:t>
      </w:r>
      <w:r w:rsidR="00E52D30">
        <w:t>presupposto per</w:t>
      </w:r>
      <w:r w:rsidR="00A34FE8">
        <w:t xml:space="preserve"> l</w:t>
      </w:r>
      <w:r>
        <w:t>’applicazione del prelievo previsto per le occupazioni di suolo pubblico</w:t>
      </w:r>
      <w:r w:rsidR="000B0246">
        <w:t>.</w:t>
      </w:r>
      <w:r w:rsidR="00EB0CF7">
        <w:t xml:space="preserve"> </w:t>
      </w:r>
    </w:p>
    <w:p w14:paraId="6FBD106E" w14:textId="0E806498" w:rsidR="002F246A" w:rsidRDefault="002F246A" w:rsidP="002F246A">
      <w:pPr>
        <w:jc w:val="both"/>
      </w:pPr>
      <w:r>
        <w:t xml:space="preserve">I giudici del tribunale di Pavia nella sentenza scrivono: </w:t>
      </w:r>
      <w:r w:rsidRPr="002F246A">
        <w:rPr>
          <w:i/>
          <w:iCs/>
        </w:rPr>
        <w:t>“</w:t>
      </w:r>
      <w:r w:rsidRPr="002F246A">
        <w:rPr>
          <w:i/>
          <w:iCs/>
        </w:rPr>
        <w:t>il quadro normativo e</w:t>
      </w:r>
      <w:r w:rsidRPr="002F246A">
        <w:rPr>
          <w:i/>
          <w:iCs/>
        </w:rPr>
        <w:t xml:space="preserve"> </w:t>
      </w:r>
      <w:r w:rsidRPr="002F246A">
        <w:rPr>
          <w:i/>
          <w:iCs/>
        </w:rPr>
        <w:t>giurisprudenziale di riferimento non evidenziano incertezze applicative,</w:t>
      </w:r>
      <w:r w:rsidRPr="002F246A">
        <w:rPr>
          <w:i/>
          <w:iCs/>
        </w:rPr>
        <w:t xml:space="preserve"> </w:t>
      </w:r>
      <w:r w:rsidRPr="002F246A">
        <w:rPr>
          <w:i/>
          <w:iCs/>
        </w:rPr>
        <w:t>essendo i presupposti oggettivi e soggettivi del nuovo canone</w:t>
      </w:r>
      <w:r w:rsidRPr="002F246A">
        <w:rPr>
          <w:i/>
          <w:iCs/>
        </w:rPr>
        <w:t xml:space="preserve"> </w:t>
      </w:r>
      <w:r w:rsidRPr="002F246A">
        <w:rPr>
          <w:i/>
          <w:iCs/>
        </w:rPr>
        <w:t>esattamente</w:t>
      </w:r>
      <w:r w:rsidRPr="002F246A">
        <w:rPr>
          <w:i/>
          <w:iCs/>
        </w:rPr>
        <w:t xml:space="preserve"> </w:t>
      </w:r>
      <w:r w:rsidRPr="002F246A">
        <w:rPr>
          <w:i/>
          <w:iCs/>
        </w:rPr>
        <w:t>sovrapponibili a quelli previsti dai tributi che sono stati sostituiti.</w:t>
      </w:r>
      <w:r w:rsidRPr="002F246A">
        <w:rPr>
          <w:i/>
          <w:iCs/>
        </w:rPr>
        <w:t>”</w:t>
      </w:r>
    </w:p>
    <w:p w14:paraId="43F626A3" w14:textId="77777777" w:rsidR="00B93240" w:rsidRDefault="002F246A" w:rsidP="000B0246">
      <w:pPr>
        <w:jc w:val="both"/>
      </w:pPr>
      <w:r>
        <w:t>Questa sentenza apre quindi la stagione dei ricorsi in materia di Canone Unico seguendo il solco già tracciato</w:t>
      </w:r>
      <w:r w:rsidR="00B93240">
        <w:t xml:space="preserve"> su questa particolare fattispecie </w:t>
      </w:r>
      <w:r>
        <w:t>dalla Corte di Cassazione in materia di TOSAP e COSAP</w:t>
      </w:r>
      <w:r w:rsidR="00B93240">
        <w:t>.</w:t>
      </w:r>
    </w:p>
    <w:p w14:paraId="7FE21590" w14:textId="77777777" w:rsidR="002B18FE" w:rsidRDefault="00B93240" w:rsidP="000B0246">
      <w:pPr>
        <w:jc w:val="both"/>
      </w:pPr>
      <w:r>
        <w:t>L</w:t>
      </w:r>
      <w:r w:rsidR="00AA0D5C" w:rsidRPr="00AA0D5C">
        <w:t xml:space="preserve">a </w:t>
      </w:r>
      <w:r w:rsidR="00EB0CF7">
        <w:t xml:space="preserve">stessa </w:t>
      </w:r>
      <w:r w:rsidR="00AA0D5C" w:rsidRPr="00AA0D5C">
        <w:t>giurisprudenza di legittimità</w:t>
      </w:r>
      <w:r w:rsidR="00AA0D5C">
        <w:t xml:space="preserve"> </w:t>
      </w:r>
      <w:r w:rsidR="000B0246">
        <w:t xml:space="preserve">si </w:t>
      </w:r>
      <w:r w:rsidR="002B18FE">
        <w:t>era</w:t>
      </w:r>
      <w:r w:rsidR="000B0246">
        <w:t xml:space="preserve"> espressa più volte</w:t>
      </w:r>
      <w:r>
        <w:t>, chiarendo come</w:t>
      </w:r>
      <w:r w:rsidR="00E52D30">
        <w:t xml:space="preserve"> </w:t>
      </w:r>
      <w:r w:rsidR="00E52D30" w:rsidRPr="00AA0D5C">
        <w:t>l’occupazione</w:t>
      </w:r>
      <w:r w:rsidR="00AA0D5C" w:rsidRPr="00AA0D5C">
        <w:t xml:space="preserve"> da parte di </w:t>
      </w:r>
      <w:r>
        <w:t xml:space="preserve">un </w:t>
      </w:r>
      <w:r w:rsidR="00AA0D5C" w:rsidRPr="00AA0D5C">
        <w:t xml:space="preserve">soggetto di diritto </w:t>
      </w:r>
      <w:r w:rsidR="000F43B8" w:rsidRPr="00AA0D5C">
        <w:t>privato</w:t>
      </w:r>
      <w:r w:rsidR="000F43B8">
        <w:t xml:space="preserve">, </w:t>
      </w:r>
      <w:r w:rsidR="000F43B8" w:rsidRPr="00AA0D5C">
        <w:t>debba</w:t>
      </w:r>
      <w:r w:rsidR="000B0246">
        <w:t xml:space="preserve"> sempre </w:t>
      </w:r>
      <w:r w:rsidR="00AA0D5C" w:rsidRPr="00AA0D5C">
        <w:t>essere valutata direttamente con riferimento al soggetto che gestisce l’area</w:t>
      </w:r>
      <w:r w:rsidR="000B0246">
        <w:t xml:space="preserve">. Di </w:t>
      </w:r>
      <w:r w:rsidR="007D6A2C">
        <w:t xml:space="preserve">conseguenza, </w:t>
      </w:r>
      <w:r w:rsidR="007D6A2C" w:rsidRPr="00AA0D5C">
        <w:t>in</w:t>
      </w:r>
      <w:r w:rsidR="00AA0D5C" w:rsidRPr="00AA0D5C">
        <w:t xml:space="preserve"> caso di concessione di beni demaniali od appartenenti al patrimonio indisponibile dello </w:t>
      </w:r>
      <w:r w:rsidR="007D6A2C" w:rsidRPr="00AA0D5C">
        <w:t>Stato</w:t>
      </w:r>
      <w:r w:rsidR="007D6A2C">
        <w:t xml:space="preserve">, </w:t>
      </w:r>
      <w:r w:rsidR="007D6A2C" w:rsidRPr="00AA0D5C">
        <w:t>a</w:t>
      </w:r>
      <w:r w:rsidR="00AA0D5C" w:rsidRPr="00AA0D5C">
        <w:t xml:space="preserve"> favore del soggetto che gestisce la rete </w:t>
      </w:r>
      <w:r w:rsidR="007D6A2C" w:rsidRPr="00AA0D5C">
        <w:t>autostradale</w:t>
      </w:r>
      <w:r w:rsidR="007D6A2C">
        <w:t xml:space="preserve">, </w:t>
      </w:r>
      <w:r w:rsidR="007D6A2C" w:rsidRPr="00AA0D5C">
        <w:t>si</w:t>
      </w:r>
      <w:r w:rsidR="00AA0D5C" w:rsidRPr="00AA0D5C">
        <w:t xml:space="preserve"> configura l’applicabilità del </w:t>
      </w:r>
      <w:r w:rsidR="000B0246">
        <w:t>C</w:t>
      </w:r>
      <w:r w:rsidR="00AA0D5C">
        <w:t>anone</w:t>
      </w:r>
      <w:r w:rsidR="00AA0D5C" w:rsidRPr="00AA0D5C">
        <w:t xml:space="preserve"> a carico del soggetto concessionario</w:t>
      </w:r>
      <w:r w:rsidR="000B0246">
        <w:t xml:space="preserve">. </w:t>
      </w:r>
    </w:p>
    <w:p w14:paraId="2CAB159C" w14:textId="77777777" w:rsidR="002B18FE" w:rsidRDefault="000B0246" w:rsidP="000B0246">
      <w:pPr>
        <w:jc w:val="both"/>
      </w:pPr>
      <w:r>
        <w:t xml:space="preserve">Quando </w:t>
      </w:r>
      <w:r w:rsidR="00AA0D5C" w:rsidRPr="00AA0D5C">
        <w:t>i beni oggetto di concessione occup</w:t>
      </w:r>
      <w:r>
        <w:t>a</w:t>
      </w:r>
      <w:r w:rsidR="00AA0D5C" w:rsidRPr="00AA0D5C">
        <w:t>no spazi di proprietà di altri enti pubblici</w:t>
      </w:r>
      <w:r>
        <w:t xml:space="preserve">, si deve valutare come </w:t>
      </w:r>
      <w:r w:rsidR="007D6A2C">
        <w:t xml:space="preserve">una </w:t>
      </w:r>
      <w:r>
        <w:t xml:space="preserve">sottrazione di aree </w:t>
      </w:r>
      <w:r w:rsidR="002B18FE">
        <w:t>d</w:t>
      </w:r>
      <w:r>
        <w:t xml:space="preserve">alla disponibilità della collettività, creando </w:t>
      </w:r>
      <w:r w:rsidR="007D6A2C">
        <w:t xml:space="preserve">di conseguenza </w:t>
      </w:r>
      <w:r>
        <w:t>presupposto applicativo.</w:t>
      </w:r>
      <w:r w:rsidR="000F43B8">
        <w:t xml:space="preserve"> </w:t>
      </w:r>
    </w:p>
    <w:p w14:paraId="370B98C5" w14:textId="6DEA0313" w:rsidR="003956E8" w:rsidRDefault="000F43B8" w:rsidP="000B0246">
      <w:pPr>
        <w:jc w:val="both"/>
      </w:pPr>
      <w:r>
        <w:t>Concetto</w:t>
      </w:r>
      <w:r w:rsidR="00B93240">
        <w:t xml:space="preserve"> oggi totalmente</w:t>
      </w:r>
      <w:r>
        <w:t xml:space="preserve"> mutuabile con l’attuale prelievo CUP</w:t>
      </w:r>
      <w:r w:rsidR="00B93240">
        <w:t xml:space="preserve"> e accolto dai Giudici di Pavia che hanno emesso la sentenza in parola.</w:t>
      </w:r>
    </w:p>
    <w:p w14:paraId="4584D102" w14:textId="71ABA68C" w:rsidR="004837BC" w:rsidRDefault="004837BC" w:rsidP="004837BC">
      <w:r>
        <w:t xml:space="preserve">Allegato: sentenza </w:t>
      </w:r>
      <w:r>
        <w:t>Tribunale Pavia, Sez. III - Sentenza n. 1645 del 27/12/2022</w:t>
      </w:r>
    </w:p>
    <w:p w14:paraId="6FB44791" w14:textId="1C52A384" w:rsidR="003956E8" w:rsidRDefault="00037D9D" w:rsidP="000B0246">
      <w:pPr>
        <w:jc w:val="both"/>
      </w:pPr>
      <w:r>
        <w:t xml:space="preserve"> </w:t>
      </w:r>
    </w:p>
    <w:sectPr w:rsidR="003956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2E"/>
    <w:rsid w:val="00037D9D"/>
    <w:rsid w:val="000B0246"/>
    <w:rsid w:val="000F43B8"/>
    <w:rsid w:val="002B18FE"/>
    <w:rsid w:val="002F246A"/>
    <w:rsid w:val="003956E8"/>
    <w:rsid w:val="004837BC"/>
    <w:rsid w:val="00520611"/>
    <w:rsid w:val="006F0ACE"/>
    <w:rsid w:val="00756F11"/>
    <w:rsid w:val="007D6A2C"/>
    <w:rsid w:val="0090090A"/>
    <w:rsid w:val="00A34FE8"/>
    <w:rsid w:val="00AA0D5C"/>
    <w:rsid w:val="00B93240"/>
    <w:rsid w:val="00BF7605"/>
    <w:rsid w:val="00C0532E"/>
    <w:rsid w:val="00C53FB8"/>
    <w:rsid w:val="00E52D30"/>
    <w:rsid w:val="00E611AF"/>
    <w:rsid w:val="00EB0CF7"/>
    <w:rsid w:val="00F933E2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F72F8"/>
  <w15:chartTrackingRefBased/>
  <w15:docId w15:val="{ED47B807-3E32-41F0-B0EC-C57B8192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10</cp:revision>
  <dcterms:created xsi:type="dcterms:W3CDTF">2022-09-22T10:04:00Z</dcterms:created>
  <dcterms:modified xsi:type="dcterms:W3CDTF">2023-02-25T17:48:00Z</dcterms:modified>
</cp:coreProperties>
</file>