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642F82" w14:textId="03DF6BEB" w:rsidR="00A05E5A" w:rsidRDefault="00A05E5A">
      <w:pPr>
        <w:rPr>
          <w:b/>
          <w:bCs/>
        </w:rPr>
      </w:pPr>
      <w:r>
        <w:rPr>
          <w:b/>
          <w:bCs/>
        </w:rPr>
        <w:t xml:space="preserve">Titolo: alcuni aspetti di interesse </w:t>
      </w:r>
      <w:r w:rsidR="00B70C3D">
        <w:rPr>
          <w:b/>
          <w:bCs/>
        </w:rPr>
        <w:t xml:space="preserve">da valutare </w:t>
      </w:r>
      <w:r>
        <w:rPr>
          <w:b/>
          <w:bCs/>
        </w:rPr>
        <w:t xml:space="preserve">durante il </w:t>
      </w:r>
      <w:r w:rsidR="00C614AE">
        <w:rPr>
          <w:b/>
          <w:bCs/>
        </w:rPr>
        <w:t xml:space="preserve">prossimo </w:t>
      </w:r>
      <w:r>
        <w:rPr>
          <w:b/>
          <w:bCs/>
        </w:rPr>
        <w:t>periodo elettorale</w:t>
      </w:r>
    </w:p>
    <w:p w14:paraId="36D3B44C" w14:textId="61C14830" w:rsidR="00A05E5A" w:rsidRDefault="00A05E5A">
      <w:pPr>
        <w:rPr>
          <w:b/>
          <w:bCs/>
        </w:rPr>
      </w:pPr>
      <w:r>
        <w:rPr>
          <w:b/>
          <w:bCs/>
        </w:rPr>
        <w:t>Di Alessandro Merciari</w:t>
      </w:r>
    </w:p>
    <w:p w14:paraId="7BAF857E" w14:textId="77777777" w:rsidR="000971B4" w:rsidRDefault="000971B4">
      <w:pPr>
        <w:rPr>
          <w:b/>
          <w:bCs/>
        </w:rPr>
      </w:pPr>
    </w:p>
    <w:p w14:paraId="1FC11647" w14:textId="59DA2B1B" w:rsidR="00F14389" w:rsidRDefault="00A05E5A" w:rsidP="00A05E5A">
      <w:pPr>
        <w:jc w:val="both"/>
      </w:pPr>
      <w:r w:rsidRPr="00A05E5A">
        <w:t xml:space="preserve">Nei giorni </w:t>
      </w:r>
      <w:r w:rsidRPr="00F14389">
        <w:rPr>
          <w:b/>
          <w:bCs/>
        </w:rPr>
        <w:t>8 e 9 giugno 2024</w:t>
      </w:r>
      <w:r w:rsidRPr="00A05E5A">
        <w:t xml:space="preserve"> si svolgeranno le elezioni Europee, per eleggere i rappresentanti dell'Italia al Parlamento Europeo e </w:t>
      </w:r>
      <w:r w:rsidR="00C614AE" w:rsidRPr="00A05E5A">
        <w:t xml:space="preserve">congiuntamente </w:t>
      </w:r>
      <w:r w:rsidRPr="00A05E5A">
        <w:t>le elezioni Amministrative per eleggere il Sindaco e i Consiglieri Comunali</w:t>
      </w:r>
      <w:r>
        <w:t xml:space="preserve"> di molti Comuni del nostro Paese</w:t>
      </w:r>
      <w:r w:rsidR="00EC6F07">
        <w:t>, oltre all</w:t>
      </w:r>
      <w:r w:rsidR="00C614AE">
        <w:t>a</w:t>
      </w:r>
      <w:r w:rsidR="00EC6F07">
        <w:t xml:space="preserve"> elezion</w:t>
      </w:r>
      <w:r w:rsidR="00C614AE">
        <w:t>e</w:t>
      </w:r>
      <w:r w:rsidR="00EC6F07">
        <w:t xml:space="preserve"> </w:t>
      </w:r>
      <w:r w:rsidR="00EC6F07" w:rsidRPr="00EC6F07">
        <w:t xml:space="preserve">del </w:t>
      </w:r>
      <w:r w:rsidR="00EC6F07">
        <w:t>P</w:t>
      </w:r>
      <w:r w:rsidR="00EC6F07" w:rsidRPr="00EC6F07">
        <w:t xml:space="preserve">residente della Regione </w:t>
      </w:r>
      <w:r w:rsidR="00F14389" w:rsidRPr="00EC6F07">
        <w:t>Piemonte</w:t>
      </w:r>
      <w:r w:rsidR="00F14389">
        <w:t xml:space="preserve"> </w:t>
      </w:r>
      <w:r w:rsidR="00EC6F07" w:rsidRPr="00EC6F07">
        <w:t xml:space="preserve">e del </w:t>
      </w:r>
      <w:r w:rsidR="00F14389">
        <w:t xml:space="preserve">suo </w:t>
      </w:r>
      <w:r w:rsidR="00C614AE">
        <w:t>C</w:t>
      </w:r>
      <w:r w:rsidR="00EC6F07" w:rsidRPr="00EC6F07">
        <w:t xml:space="preserve">onsiglio </w:t>
      </w:r>
      <w:r w:rsidR="00C614AE">
        <w:t>R</w:t>
      </w:r>
      <w:r w:rsidR="00EC6F07" w:rsidRPr="00EC6F07">
        <w:t>egionale</w:t>
      </w:r>
      <w:r w:rsidR="00F14389">
        <w:t>.</w:t>
      </w:r>
      <w:r w:rsidR="00C614AE">
        <w:t xml:space="preserve"> </w:t>
      </w:r>
    </w:p>
    <w:p w14:paraId="47B46EF4" w14:textId="2CA42F64" w:rsidR="00EC6F07" w:rsidRDefault="00F14389" w:rsidP="00A05E5A">
      <w:pPr>
        <w:jc w:val="both"/>
      </w:pPr>
      <w:r>
        <w:t>Nella Gazzetta Ufficiale n. 85 dell'11 aprile 2024 sono stati pubblicati i decreti del Presidente della Repubblica di convocazione</w:t>
      </w:r>
      <w:r w:rsidR="00C614AE">
        <w:t xml:space="preserve"> </w:t>
      </w:r>
      <w:r>
        <w:t>dei comizi per questa tornata elettorale</w:t>
      </w:r>
      <w:r w:rsidR="00C614AE">
        <w:t xml:space="preserve">, fissata come detto </w:t>
      </w:r>
      <w:r w:rsidR="00C614AE">
        <w:t>per il giorno di sabato 8 giugno e domenica 9 giugno 2024</w:t>
      </w:r>
      <w:r>
        <w:t>.</w:t>
      </w:r>
      <w:r w:rsidR="00EC6F07" w:rsidRPr="00EC6F07">
        <w:t xml:space="preserve"> </w:t>
      </w:r>
    </w:p>
    <w:p w14:paraId="7D920AD5" w14:textId="504F1118" w:rsidR="00A05E5A" w:rsidRDefault="00A05E5A" w:rsidP="00A05E5A">
      <w:pPr>
        <w:jc w:val="both"/>
      </w:pPr>
      <w:r>
        <w:t xml:space="preserve">Con </w:t>
      </w:r>
      <w:r w:rsidR="00C614AE">
        <w:t>l’odierno</w:t>
      </w:r>
      <w:r>
        <w:t xml:space="preserve"> approfondimento </w:t>
      </w:r>
      <w:r w:rsidR="00F14389">
        <w:t>affrontiamo</w:t>
      </w:r>
      <w:r>
        <w:t xml:space="preserve"> alcuni temi di interesse che </w:t>
      </w:r>
      <w:r w:rsidR="00F14389">
        <w:t>coinvolgono</w:t>
      </w:r>
      <w:r w:rsidR="00EC6F07">
        <w:t xml:space="preserve"> gli uffici di gestione del Canone Unico in merito alle </w:t>
      </w:r>
      <w:r>
        <w:t xml:space="preserve">iniziative che i partiti politici e i candidati </w:t>
      </w:r>
      <w:r w:rsidR="00F14389">
        <w:t>s</w:t>
      </w:r>
      <w:r w:rsidR="00EC6F07">
        <w:t xml:space="preserve">i </w:t>
      </w:r>
      <w:r w:rsidR="00C614AE">
        <w:t>apprestano</w:t>
      </w:r>
      <w:r w:rsidR="00EC6F07">
        <w:t xml:space="preserve"> ad </w:t>
      </w:r>
      <w:r>
        <w:t>organizza</w:t>
      </w:r>
      <w:r w:rsidR="00EC6F07">
        <w:t>re</w:t>
      </w:r>
      <w:r>
        <w:t xml:space="preserve"> in vista dell’appuntamento elettorale. Vediamo </w:t>
      </w:r>
      <w:r w:rsidR="00C614AE">
        <w:t>in particolare</w:t>
      </w:r>
      <w:r w:rsidR="00EC6F07">
        <w:t xml:space="preserve"> </w:t>
      </w:r>
      <w:r>
        <w:t>come comportarci per le richieste di occupazione suolo pubblico e per le iniziative di propaganda elettorale.</w:t>
      </w:r>
    </w:p>
    <w:p w14:paraId="6EC6A838" w14:textId="267F52A3" w:rsidR="005927CF" w:rsidRDefault="005927CF">
      <w:pPr>
        <w:rPr>
          <w:b/>
          <w:bCs/>
        </w:rPr>
      </w:pPr>
      <w:r w:rsidRPr="005927CF">
        <w:rPr>
          <w:b/>
          <w:bCs/>
        </w:rPr>
        <w:t>Occupazione suolo pubblico</w:t>
      </w:r>
    </w:p>
    <w:p w14:paraId="459619CB" w14:textId="6C248A18" w:rsidR="00B70C3D" w:rsidRDefault="00B70C3D" w:rsidP="00A05E5A">
      <w:pPr>
        <w:jc w:val="both"/>
      </w:pPr>
      <w:r>
        <w:t>Per quanto riguarda le occupazioni di suolo pubblico occorre evidenziare subito un cambio di atteggiamento rispetto al passato.</w:t>
      </w:r>
    </w:p>
    <w:p w14:paraId="10096EDD" w14:textId="70E3DD15" w:rsidR="00060149" w:rsidRDefault="00A05E5A" w:rsidP="00A05E5A">
      <w:pPr>
        <w:jc w:val="both"/>
        <w:rPr>
          <w:i/>
          <w:iCs/>
        </w:rPr>
      </w:pPr>
      <w:r>
        <w:t>Con il precedente prelievo Tosap</w:t>
      </w:r>
      <w:r w:rsidR="00B70C3D">
        <w:t xml:space="preserve"> </w:t>
      </w:r>
      <w:r w:rsidR="001156FC">
        <w:t>infatti le</w:t>
      </w:r>
      <w:r>
        <w:t xml:space="preserve"> occupazioni realizzate con finalità politica erano </w:t>
      </w:r>
      <w:r w:rsidR="00B70C3D">
        <w:t xml:space="preserve">sempre </w:t>
      </w:r>
      <w:r>
        <w:t xml:space="preserve">esenti </w:t>
      </w:r>
      <w:r w:rsidR="00B70C3D">
        <w:t>a condizione che</w:t>
      </w:r>
      <w:r>
        <w:t xml:space="preserve"> l’area richiesta non eccede</w:t>
      </w:r>
      <w:r w:rsidR="00B70C3D">
        <w:t>sse</w:t>
      </w:r>
      <w:r>
        <w:t xml:space="preserve"> i mq 10. </w:t>
      </w:r>
      <w:r w:rsidR="00E81C80">
        <w:t>Con i</w:t>
      </w:r>
      <w:r>
        <w:t xml:space="preserve">l </w:t>
      </w:r>
      <w:r w:rsidR="00350F30">
        <w:t xml:space="preserve">comma 67 </w:t>
      </w:r>
      <w:r>
        <w:t>dell’</w:t>
      </w:r>
      <w:r w:rsidR="00350F30">
        <w:t>art</w:t>
      </w:r>
      <w:r>
        <w:t>icolo</w:t>
      </w:r>
      <w:r w:rsidR="00350F30">
        <w:t xml:space="preserve">  3 </w:t>
      </w:r>
      <w:r>
        <w:t xml:space="preserve">della </w:t>
      </w:r>
      <w:r w:rsidR="00350F30">
        <w:t>Legge 549</w:t>
      </w:r>
      <w:r>
        <w:t xml:space="preserve"> del </w:t>
      </w:r>
      <w:r w:rsidR="00350F30">
        <w:t>1995</w:t>
      </w:r>
      <w:r>
        <w:t xml:space="preserve"> </w:t>
      </w:r>
      <w:r w:rsidR="00B70C3D">
        <w:t xml:space="preserve">venne stabilito </w:t>
      </w:r>
      <w:r>
        <w:t>che: “</w:t>
      </w:r>
      <w:r w:rsidR="005927CF" w:rsidRPr="00A05E5A">
        <w:rPr>
          <w:i/>
          <w:iCs/>
        </w:rPr>
        <w:t>Sono esonerati dall'obbligo al pagamento della T.o.s.a.p. coloro i quali promuovono manifestazioni od iniziative a carattere politico, purché l'area occupata non ecceda i 10 metri quadrati.</w:t>
      </w:r>
      <w:r w:rsidRPr="00A05E5A">
        <w:rPr>
          <w:i/>
          <w:iCs/>
        </w:rPr>
        <w:t>“</w:t>
      </w:r>
    </w:p>
    <w:p w14:paraId="63655268" w14:textId="7DFC9BFE" w:rsidR="00B70C3D" w:rsidRDefault="00871396" w:rsidP="00A05E5A">
      <w:pPr>
        <w:jc w:val="both"/>
      </w:pPr>
      <w:r>
        <w:t>Nel</w:t>
      </w:r>
      <w:r w:rsidR="00A05E5A">
        <w:t>l’attuale prelievo</w:t>
      </w:r>
      <w:r>
        <w:t xml:space="preserve"> del Canone Unico</w:t>
      </w:r>
      <w:r w:rsidR="00B70C3D">
        <w:t>,</w:t>
      </w:r>
      <w:r w:rsidR="00A05E5A">
        <w:t xml:space="preserve"> disciplinato dal Legislatore con la Legge 160/2019</w:t>
      </w:r>
      <w:r w:rsidR="00B70C3D">
        <w:t xml:space="preserve">, il Legislatore </w:t>
      </w:r>
      <w:r w:rsidR="00A05E5A">
        <w:t xml:space="preserve">non </w:t>
      </w:r>
      <w:r w:rsidR="00B70C3D">
        <w:t>ha</w:t>
      </w:r>
      <w:r w:rsidR="00A05E5A">
        <w:t xml:space="preserve"> </w:t>
      </w:r>
      <w:r w:rsidR="00B70C3D">
        <w:t>riportato</w:t>
      </w:r>
      <w:r w:rsidR="00A05E5A">
        <w:t xml:space="preserve"> l’esenzione</w:t>
      </w:r>
      <w:r w:rsidR="00B70C3D">
        <w:t xml:space="preserve"> già prevista in Tosap</w:t>
      </w:r>
      <w:r w:rsidR="00A05E5A">
        <w:t xml:space="preserve">, così che quanto </w:t>
      </w:r>
      <w:r w:rsidR="00B70C3D">
        <w:t xml:space="preserve">era </w:t>
      </w:r>
      <w:r w:rsidR="00A05E5A">
        <w:t xml:space="preserve">previsto </w:t>
      </w:r>
      <w:r w:rsidR="00B70C3D">
        <w:t xml:space="preserve">con il precedente </w:t>
      </w:r>
      <w:r w:rsidR="00A05E5A">
        <w:t xml:space="preserve">regime </w:t>
      </w:r>
      <w:r w:rsidR="001156FC">
        <w:t>tributario</w:t>
      </w:r>
      <w:r w:rsidR="00A05E5A">
        <w:t xml:space="preserve"> non </w:t>
      </w:r>
      <w:r w:rsidR="001156FC">
        <w:t xml:space="preserve">può trovare </w:t>
      </w:r>
      <w:r w:rsidR="00A05E5A">
        <w:t>automatic</w:t>
      </w:r>
      <w:r w:rsidR="001156FC">
        <w:t>a applicazione nel</w:t>
      </w:r>
      <w:r w:rsidR="00A05E5A">
        <w:t xml:space="preserve">l’attuale entrata a carattere patrimoniale. Viene </w:t>
      </w:r>
      <w:r w:rsidR="001156FC">
        <w:t xml:space="preserve">così </w:t>
      </w:r>
      <w:r>
        <w:t>necessariamente condizionata</w:t>
      </w:r>
      <w:r w:rsidR="001156FC">
        <w:t xml:space="preserve"> la scelta</w:t>
      </w:r>
      <w:r w:rsidR="00A05E5A">
        <w:t xml:space="preserve"> alla disciplina regolamentare</w:t>
      </w:r>
      <w:r w:rsidR="001156FC">
        <w:t xml:space="preserve"> nella quale dovrà trovare spazio, </w:t>
      </w:r>
      <w:r w:rsidR="00B70C3D">
        <w:t xml:space="preserve">la </w:t>
      </w:r>
      <w:r w:rsidR="0078727D">
        <w:t>p</w:t>
      </w:r>
      <w:r w:rsidR="00B70C3D">
        <w:t>ossibile analoga esenzione da riconoscere alle occupazioni realizzate dai partiti politici e in generale dai soggetti che vogliono organizzare una iniziativa a carattere politico.</w:t>
      </w:r>
    </w:p>
    <w:p w14:paraId="5C2339DC" w14:textId="7B802B5E" w:rsidR="00A05E5A" w:rsidRDefault="00B70C3D" w:rsidP="00A05E5A">
      <w:pPr>
        <w:jc w:val="both"/>
      </w:pPr>
      <w:r>
        <w:t xml:space="preserve">Il Legislatore, come già accaduto per altre fattispecie, è incappato in questa che sembra una svista. Il comma 833 articolo 1 L. 160/2019 elenca le esenzioni previste per Legge recepite nella nuova disciplina con una operazione di copia e incolla dagli articoli </w:t>
      </w:r>
      <w:r w:rsidR="0078727D">
        <w:t xml:space="preserve">dedicati </w:t>
      </w:r>
      <w:r w:rsidR="00871396">
        <w:t xml:space="preserve">a ICP e TOSAP </w:t>
      </w:r>
      <w:r w:rsidR="0078727D">
        <w:t xml:space="preserve"> contenuti n</w:t>
      </w:r>
      <w:r>
        <w:t xml:space="preserve">el d.Lgs 507/93 che regolava i precedenti prelievi sostituiti dall’attuale Canone Unico.  </w:t>
      </w:r>
    </w:p>
    <w:p w14:paraId="4906F024" w14:textId="3419B8BC" w:rsidR="0078727D" w:rsidRPr="00A05E5A" w:rsidRDefault="0078727D" w:rsidP="00A05E5A">
      <w:pPr>
        <w:jc w:val="both"/>
      </w:pPr>
      <w:r>
        <w:t>In forza del comma 821</w:t>
      </w:r>
      <w:r w:rsidR="00871396">
        <w:t>, lettera F,</w:t>
      </w:r>
      <w:r>
        <w:t xml:space="preserve"> della Legge 160/2019 e in virtù della potestà regolamentare in materia di proprie </w:t>
      </w:r>
      <w:r w:rsidR="000971B4">
        <w:t>entrate riconosciuta</w:t>
      </w:r>
      <w:r>
        <w:t xml:space="preserve"> ai Comuni dall’articolo 52 del D.Lgs 446/97, è possibile per i singoli enti territoriali prevedere ancora l’esenzione. Tuttavia, </w:t>
      </w:r>
      <w:r w:rsidR="000971B4">
        <w:t>è necessaria</w:t>
      </w:r>
      <w:r>
        <w:t xml:space="preserve"> una specifica previsione regolamentare </w:t>
      </w:r>
      <w:r w:rsidR="000971B4">
        <w:t xml:space="preserve">senza la quale </w:t>
      </w:r>
      <w:r>
        <w:t>non potrà</w:t>
      </w:r>
      <w:r w:rsidR="00871396">
        <w:t xml:space="preserve">, come detto, </w:t>
      </w:r>
      <w:r>
        <w:t xml:space="preserve"> più essere applicata </w:t>
      </w:r>
      <w:r w:rsidR="000971B4">
        <w:t xml:space="preserve">l’esenzione </w:t>
      </w:r>
      <w:r w:rsidR="00871396">
        <w:t>in modo automatico</w:t>
      </w:r>
      <w:r>
        <w:t>.</w:t>
      </w:r>
    </w:p>
    <w:p w14:paraId="71477FCA" w14:textId="77777777" w:rsidR="005927CF" w:rsidRPr="005927CF" w:rsidRDefault="005927CF" w:rsidP="005927CF">
      <w:pPr>
        <w:rPr>
          <w:b/>
          <w:bCs/>
        </w:rPr>
      </w:pPr>
      <w:r w:rsidRPr="005927CF">
        <w:rPr>
          <w:b/>
          <w:bCs/>
        </w:rPr>
        <w:t>Imposta di bollo</w:t>
      </w:r>
    </w:p>
    <w:p w14:paraId="49248645" w14:textId="076658BA" w:rsidR="005927CF" w:rsidRDefault="005927CF" w:rsidP="000971B4">
      <w:pPr>
        <w:jc w:val="both"/>
      </w:pPr>
      <w:r>
        <w:t>Ai sensi dell'art. 1 della tabella allegato B al D.P.R. 26.10.1972, n. 642, le richieste rivolte a</w:t>
      </w:r>
      <w:r w:rsidR="000971B4">
        <w:t xml:space="preserve">gli enti territoriali competente </w:t>
      </w:r>
      <w:r>
        <w:t>per l’occupazione temporanea di suolo pubblico a fini politici sono esenti dall’imposta di bollo.</w:t>
      </w:r>
      <w:r w:rsidR="000971B4">
        <w:t xml:space="preserve"> La disposizione è ancora attuale e, a</w:t>
      </w:r>
      <w:r>
        <w:t>l riguardo, si precisa</w:t>
      </w:r>
      <w:r w:rsidR="000971B4">
        <w:t xml:space="preserve"> che, </w:t>
      </w:r>
      <w:r>
        <w:t>sulla base degli orientamenti espressi dall'Agenzia delle Entrate, le richieste ed i provvedimenti di concessione di occupazione di suolo pubblico per propaganda elettorale e referendaria sono esenti dal pagamento dell’imposta di bollo, laddove l’occupazione ricada all’interno del periodo di propaganda elettorale</w:t>
      </w:r>
      <w:r w:rsidR="000971B4">
        <w:t xml:space="preserve">, </w:t>
      </w:r>
      <w:r>
        <w:t xml:space="preserve">vale a dire nei 30 giorni antecedenti la data di </w:t>
      </w:r>
      <w:r>
        <w:lastRenderedPageBreak/>
        <w:t>svolgimento della consultazione</w:t>
      </w:r>
      <w:r w:rsidR="000971B4">
        <w:t>. Saranno di conseguenza a</w:t>
      </w:r>
      <w:r>
        <w:t>ssoggettate al pagamento dell'imposta di bollo</w:t>
      </w:r>
      <w:r w:rsidR="000971B4">
        <w:t>,</w:t>
      </w:r>
      <w:r>
        <w:t xml:space="preserve"> nella misura stabilita dalla legge</w:t>
      </w:r>
      <w:r w:rsidR="000971B4">
        <w:t>,</w:t>
      </w:r>
      <w:r>
        <w:t xml:space="preserve"> le istanze di concessione di suolo pubblico riferite ad occupazioni non rientranti nel periodo di propaganda fissato dalla legge</w:t>
      </w:r>
      <w:r w:rsidR="000971B4">
        <w:t xml:space="preserve">, </w:t>
      </w:r>
      <w:r>
        <w:t>come detto</w:t>
      </w:r>
      <w:r w:rsidR="00871396">
        <w:t>,</w:t>
      </w:r>
      <w:r>
        <w:t xml:space="preserve"> nei 30 giorni antecedenti lo svolgimento della consultazione</w:t>
      </w:r>
      <w:r w:rsidR="00871396">
        <w:t xml:space="preserve"> che per il prossimo appuntamento con le urne corrisponde al </w:t>
      </w:r>
      <w:r w:rsidR="008D2141">
        <w:rPr>
          <w:b/>
          <w:bCs/>
        </w:rPr>
        <w:t>10</w:t>
      </w:r>
      <w:r w:rsidR="00871396" w:rsidRPr="00871396">
        <w:rPr>
          <w:b/>
          <w:bCs/>
        </w:rPr>
        <w:t xml:space="preserve"> maggio 2024</w:t>
      </w:r>
      <w:r w:rsidRPr="00871396">
        <w:rPr>
          <w:b/>
          <w:bCs/>
        </w:rPr>
        <w:t>.</w:t>
      </w:r>
    </w:p>
    <w:p w14:paraId="7AB5AC5B" w14:textId="76E4990A" w:rsidR="005927CF" w:rsidRPr="005927CF" w:rsidRDefault="005927CF" w:rsidP="005927CF">
      <w:pPr>
        <w:rPr>
          <w:b/>
          <w:bCs/>
        </w:rPr>
      </w:pPr>
      <w:r w:rsidRPr="005927CF">
        <w:rPr>
          <w:b/>
          <w:bCs/>
        </w:rPr>
        <w:t>Affissioni elettorali</w:t>
      </w:r>
    </w:p>
    <w:p w14:paraId="667208E3" w14:textId="578F61F5" w:rsidR="005927CF" w:rsidRPr="000971B4" w:rsidRDefault="000971B4" w:rsidP="000971B4">
      <w:pPr>
        <w:jc w:val="both"/>
        <w:rPr>
          <w:i/>
          <w:iCs/>
        </w:rPr>
      </w:pPr>
      <w:r>
        <w:t xml:space="preserve">In merito alle affissioni elettorali, occorre fare riferimento alla </w:t>
      </w:r>
      <w:r w:rsidR="001B405C">
        <w:t xml:space="preserve">specifica disciplina contenuta nella </w:t>
      </w:r>
      <w:r w:rsidR="005927CF">
        <w:t xml:space="preserve">Legge 4 aprile 1956, n. 212 “Norme per la disciplina della propaganda elettorale” che prevede all’articolo 1: </w:t>
      </w:r>
      <w:r w:rsidR="005927CF" w:rsidRPr="000971B4">
        <w:rPr>
          <w:i/>
          <w:iCs/>
        </w:rPr>
        <w:t xml:space="preserve">“L'affissione di stampati, giornali murali od altri e di manifesti di propaganda, da parte di partiti o gruppi politici che partecipano alla competizione elettorale con liste di candidati o, nel caso di elezioni a sistema uninominale, da parte dei singoli candidati o dei partiti o dei gruppi politici cui essi appartengono, </w:t>
      </w:r>
      <w:r w:rsidRPr="000971B4">
        <w:rPr>
          <w:i/>
          <w:iCs/>
        </w:rPr>
        <w:t>è</w:t>
      </w:r>
      <w:r w:rsidR="005927CF" w:rsidRPr="000971B4">
        <w:rPr>
          <w:i/>
          <w:iCs/>
        </w:rPr>
        <w:t xml:space="preserve"> effettuata esclusivamente negli appositi spazi a </w:t>
      </w:r>
      <w:r w:rsidRPr="000971B4">
        <w:rPr>
          <w:i/>
          <w:iCs/>
        </w:rPr>
        <w:t>ciò</w:t>
      </w:r>
      <w:r w:rsidR="005927CF" w:rsidRPr="000971B4">
        <w:rPr>
          <w:i/>
          <w:iCs/>
        </w:rPr>
        <w:t xml:space="preserve"> destinati in ogni Comune.”</w:t>
      </w:r>
    </w:p>
    <w:p w14:paraId="0877C505" w14:textId="130312D4" w:rsidR="005927CF" w:rsidRDefault="005927CF" w:rsidP="000971B4">
      <w:pPr>
        <w:jc w:val="both"/>
        <w:rPr>
          <w:i/>
          <w:iCs/>
        </w:rPr>
      </w:pPr>
      <w:r>
        <w:t xml:space="preserve">Si </w:t>
      </w:r>
      <w:r w:rsidR="000971B4">
        <w:t>deve</w:t>
      </w:r>
      <w:r>
        <w:t xml:space="preserve"> altresì </w:t>
      </w:r>
      <w:r w:rsidR="000971B4">
        <w:t xml:space="preserve">fare riferimento al successivo </w:t>
      </w:r>
      <w:r>
        <w:t>articolo 6 che stabilisce: “</w:t>
      </w:r>
      <w:r w:rsidRPr="000971B4">
        <w:rPr>
          <w:i/>
          <w:iCs/>
        </w:rPr>
        <w:t xml:space="preserve">Dal trentesimo giorno precedente la data fissata per le elezioni e' vietata ogni forma di propaganda elettorale luminosa o figurativa, a carattere fisso in luogo pubblico, escluse le insegne indicanti le sedi dei partiti. E' vietato, </w:t>
      </w:r>
      <w:r w:rsidR="000971B4" w:rsidRPr="000971B4">
        <w:rPr>
          <w:i/>
          <w:iCs/>
        </w:rPr>
        <w:t>altresì</w:t>
      </w:r>
      <w:r w:rsidRPr="000971B4">
        <w:rPr>
          <w:i/>
          <w:iCs/>
        </w:rPr>
        <w:t>, il lancio o il getto di volantini in luogo pubblico o aperto al pubblico e ogni forma di propaganda luminosa mobile.”</w:t>
      </w:r>
      <w:r w:rsidR="000971B4">
        <w:rPr>
          <w:i/>
          <w:iCs/>
        </w:rPr>
        <w:t>.</w:t>
      </w:r>
    </w:p>
    <w:p w14:paraId="2274D84C" w14:textId="2BAC6C0D" w:rsidR="00EC6F07" w:rsidRDefault="006854AE" w:rsidP="008D2141">
      <w:pPr>
        <w:jc w:val="both"/>
      </w:pPr>
      <w:r>
        <w:t xml:space="preserve">Per capire come comportarci in tema di affissioni elettorali, dobbiamo distinguere </w:t>
      </w:r>
      <w:r w:rsidR="00871396">
        <w:t xml:space="preserve">pertanto </w:t>
      </w:r>
      <w:r>
        <w:t xml:space="preserve">due periodi: </w:t>
      </w:r>
      <w:r w:rsidR="00EC6F07">
        <w:t>i</w:t>
      </w:r>
      <w:r>
        <w:t>l periodo preelettorale, ovvero i 30 giorni antecedenti la consultazione, e il periodo libero, cioè il periodo antecedente ai 30 giorni prima delle elezioni</w:t>
      </w:r>
      <w:r w:rsidR="008D2141">
        <w:t xml:space="preserve">, considerando come </w:t>
      </w:r>
      <w:r w:rsidR="008D2141">
        <w:t xml:space="preserve">giorno fissato per la </w:t>
      </w:r>
      <w:r w:rsidR="008D2141">
        <w:t>votazione domenica</w:t>
      </w:r>
      <w:r w:rsidR="008D2141">
        <w:t xml:space="preserve"> 9 giugno 2024, a norma dell'art. 1, comma 3, lettera b, del decreto-legge n. 7/2024, mentre sabato 8 giugno 2024 costituisce anticipazione delle operazioni di votazione</w:t>
      </w:r>
      <w:r w:rsidR="008D2141">
        <w:t xml:space="preserve">. La norma prevede infatti: </w:t>
      </w:r>
      <w:r w:rsidR="008D2141" w:rsidRPr="008D2141">
        <w:rPr>
          <w:i/>
          <w:iCs/>
        </w:rPr>
        <w:t>“</w:t>
      </w:r>
      <w:r w:rsidR="008D2141" w:rsidRPr="008D2141">
        <w:rPr>
          <w:i/>
          <w:iCs/>
        </w:rPr>
        <w:t>b) ai fini del computo dei termini dei  procedimenti  elettorali,</w:t>
      </w:r>
      <w:r w:rsidR="008D2141" w:rsidRPr="008D2141">
        <w:rPr>
          <w:i/>
          <w:iCs/>
        </w:rPr>
        <w:t xml:space="preserve"> </w:t>
      </w:r>
      <w:r w:rsidR="008D2141" w:rsidRPr="008D2141">
        <w:rPr>
          <w:i/>
          <w:iCs/>
        </w:rPr>
        <w:t>si considera giorno della votazione quello della domenica;</w:t>
      </w:r>
      <w:r w:rsidR="008D2141" w:rsidRPr="008D2141">
        <w:rPr>
          <w:i/>
          <w:iCs/>
        </w:rPr>
        <w:t>”</w:t>
      </w:r>
    </w:p>
    <w:p w14:paraId="212E48D8" w14:textId="74E667B0" w:rsidR="006854AE" w:rsidRDefault="008D2141" w:rsidP="006854AE">
      <w:pPr>
        <w:jc w:val="both"/>
      </w:pPr>
      <w:r>
        <w:t xml:space="preserve">Quindi per le </w:t>
      </w:r>
      <w:r w:rsidR="006854AE">
        <w:t>prossime elezioni dovremo considerare i seguenti due periodi:</w:t>
      </w:r>
    </w:p>
    <w:p w14:paraId="07AD4124" w14:textId="0930BCD5" w:rsidR="006854AE" w:rsidRDefault="006854AE" w:rsidP="006854AE">
      <w:pPr>
        <w:jc w:val="both"/>
      </w:pPr>
      <w:r>
        <w:t>1)</w:t>
      </w:r>
      <w:r>
        <w:tab/>
        <w:t xml:space="preserve">Fino  alle ore 24:00 del  </w:t>
      </w:r>
      <w:r w:rsidR="008D2141">
        <w:t>9</w:t>
      </w:r>
      <w:r>
        <w:t xml:space="preserve"> maggio 2024</w:t>
      </w:r>
    </w:p>
    <w:p w14:paraId="118F12C1" w14:textId="79138D18" w:rsidR="006854AE" w:rsidRDefault="006854AE" w:rsidP="006854AE">
      <w:pPr>
        <w:jc w:val="both"/>
      </w:pPr>
      <w:r>
        <w:t>2)</w:t>
      </w:r>
      <w:r>
        <w:tab/>
        <w:t xml:space="preserve">Dalle ore 00:01 </w:t>
      </w:r>
      <w:r w:rsidR="00F14389">
        <w:t xml:space="preserve">di </w:t>
      </w:r>
      <w:r w:rsidR="00F14389" w:rsidRPr="00F14389">
        <w:rPr>
          <w:b/>
          <w:bCs/>
        </w:rPr>
        <w:t>venerdì 10 maggio 2024</w:t>
      </w:r>
      <w:r w:rsidR="00F14389">
        <w:t>, trentesimo giorno antecedente quello della votazione</w:t>
      </w:r>
    </w:p>
    <w:p w14:paraId="10946B63" w14:textId="6C0C157F" w:rsidR="006854AE" w:rsidRDefault="006854AE" w:rsidP="006854AE">
      <w:pPr>
        <w:jc w:val="both"/>
      </w:pPr>
      <w:r>
        <w:t xml:space="preserve">Nel primo periodo, ovvero fino a tutto </w:t>
      </w:r>
      <w:r w:rsidR="00F14389">
        <w:t>il 9</w:t>
      </w:r>
      <w:r>
        <w:t xml:space="preserve"> maggio 2024, i manifesti che pubblicizzano i </w:t>
      </w:r>
      <w:r w:rsidR="00EC6F07">
        <w:t>vari candidati</w:t>
      </w:r>
      <w:r>
        <w:t xml:space="preserve"> e le </w:t>
      </w:r>
      <w:r w:rsidR="00EC6F07">
        <w:t>liste, potranno</w:t>
      </w:r>
      <w:r>
        <w:t xml:space="preserve"> essere affissi sugli spazi comunali, e a fronte della loro </w:t>
      </w:r>
      <w:r w:rsidR="00EC6F07">
        <w:t>esposizione dovrà</w:t>
      </w:r>
      <w:r>
        <w:t xml:space="preserve"> essere </w:t>
      </w:r>
      <w:r w:rsidR="00EC6F07">
        <w:t>pagato il</w:t>
      </w:r>
      <w:r>
        <w:t xml:space="preserve"> CUP con le tariffe stabilite per il servizio delle pubbliche affissioni con</w:t>
      </w:r>
      <w:r w:rsidR="00EC6F07">
        <w:t xml:space="preserve"> riconoscimento del</w:t>
      </w:r>
      <w:r>
        <w:t xml:space="preserve">l’eventuale tariffa ridotta </w:t>
      </w:r>
      <w:r w:rsidR="0058545A">
        <w:t>se disciplinata dal Regolamento Comunale</w:t>
      </w:r>
      <w:r>
        <w:t xml:space="preserve">. Attenzione </w:t>
      </w:r>
      <w:r w:rsidR="0058545A">
        <w:t>che durante questo</w:t>
      </w:r>
      <w:r>
        <w:t xml:space="preserve"> periodo</w:t>
      </w:r>
      <w:r w:rsidR="0058545A">
        <w:t>,</w:t>
      </w:r>
      <w:r>
        <w:t xml:space="preserve"> l’ufficio elettorale chiede</w:t>
      </w:r>
      <w:r w:rsidR="0058545A">
        <w:t xml:space="preserve"> </w:t>
      </w:r>
      <w:r w:rsidR="00EC6F07">
        <w:t xml:space="preserve">solitamente </w:t>
      </w:r>
      <w:r>
        <w:t xml:space="preserve">all’ufficio Affissioni  di affiggere manifesti la cui esposizione è obbligatoria per Legge, riportanti ad esempio informazioni sui seggi, sulle liste e sulle modalità di voto, questi </w:t>
      </w:r>
      <w:r w:rsidR="00EC6F07">
        <w:t>dovranno essere</w:t>
      </w:r>
      <w:r>
        <w:t xml:space="preserve"> esposti</w:t>
      </w:r>
      <w:r w:rsidR="00EC6F07">
        <w:t>,</w:t>
      </w:r>
      <w:r>
        <w:t xml:space="preserve"> </w:t>
      </w:r>
      <w:r w:rsidR="0058545A">
        <w:t xml:space="preserve">chiaramente </w:t>
      </w:r>
      <w:r>
        <w:t>a titolo gratuito</w:t>
      </w:r>
      <w:r w:rsidR="00EC6F07">
        <w:t>,</w:t>
      </w:r>
      <w:r>
        <w:t xml:space="preserve"> sugli </w:t>
      </w:r>
      <w:r w:rsidR="0058545A">
        <w:t xml:space="preserve">stessi </w:t>
      </w:r>
      <w:r>
        <w:t xml:space="preserve">spazi dedicati alle Pubbliche Affissioni. </w:t>
      </w:r>
    </w:p>
    <w:p w14:paraId="359658C1" w14:textId="464B9DA3" w:rsidR="000971B4" w:rsidRDefault="006854AE" w:rsidP="006854AE">
      <w:pPr>
        <w:jc w:val="both"/>
      </w:pPr>
      <w:r>
        <w:t xml:space="preserve">Nel secondo periodo, ovvero dal </w:t>
      </w:r>
      <w:r w:rsidR="00F14389">
        <w:t>10</w:t>
      </w:r>
      <w:r w:rsidR="0058545A" w:rsidRPr="0058545A">
        <w:t xml:space="preserve"> maggio</w:t>
      </w:r>
      <w:r w:rsidR="00EC6F07">
        <w:t xml:space="preserve"> 2024</w:t>
      </w:r>
      <w:r w:rsidR="0058545A" w:rsidRPr="0058545A">
        <w:t xml:space="preserve"> </w:t>
      </w:r>
      <w:r>
        <w:t xml:space="preserve">in poi, i manifesti potranno essere affissi solo sugli spazi appositi previsti dal Comune e gestiti direttamente dalle </w:t>
      </w:r>
      <w:r w:rsidR="00D17A04">
        <w:t>diverse liste</w:t>
      </w:r>
      <w:r>
        <w:t xml:space="preserve"> e dai partiti politici sulla base </w:t>
      </w:r>
      <w:r w:rsidR="00D17A04">
        <w:t>della distribuzione</w:t>
      </w:r>
      <w:r>
        <w:t xml:space="preserve"> degli spazi definita dalla Prefettura.  Questi manifesti non saranno soggetti a nessun tipo di pagamento. </w:t>
      </w:r>
      <w:r w:rsidR="00EC6F07">
        <w:t xml:space="preserve">I </w:t>
      </w:r>
      <w:r>
        <w:t>manifesti invece</w:t>
      </w:r>
      <w:r w:rsidR="0058545A">
        <w:t xml:space="preserve"> </w:t>
      </w:r>
      <w:r w:rsidR="00024D9C">
        <w:t>ancora presenti</w:t>
      </w:r>
      <w:r>
        <w:t xml:space="preserve"> sugli spazi per le Pubbliche Affissioni dovranno obbligatoriamente essere coperti entro la mezzanotte del giorno </w:t>
      </w:r>
      <w:r w:rsidR="00F14389">
        <w:t>9</w:t>
      </w:r>
      <w:r w:rsidR="0058545A">
        <w:t xml:space="preserve"> maggio 2024</w:t>
      </w:r>
      <w:r>
        <w:t>.</w:t>
      </w:r>
    </w:p>
    <w:p w14:paraId="075AB6C0" w14:textId="73ACC5F1" w:rsidR="00B9179B" w:rsidRPr="00B9179B" w:rsidRDefault="00F14389" w:rsidP="006854AE">
      <w:pPr>
        <w:jc w:val="both"/>
        <w:rPr>
          <w:b/>
          <w:bCs/>
        </w:rPr>
      </w:pPr>
      <w:r>
        <w:rPr>
          <w:b/>
          <w:bCs/>
        </w:rPr>
        <w:t>L’ a</w:t>
      </w:r>
      <w:r w:rsidR="00B9179B" w:rsidRPr="00B9179B">
        <w:rPr>
          <w:b/>
          <w:bCs/>
        </w:rPr>
        <w:t xml:space="preserve">ttività degli uffici comunali in materia di comunicazione </w:t>
      </w:r>
    </w:p>
    <w:p w14:paraId="22B56335" w14:textId="2E85A4E9" w:rsidR="00B9179B" w:rsidRDefault="00B9179B" w:rsidP="00B9179B">
      <w:pPr>
        <w:jc w:val="both"/>
      </w:pPr>
      <w:r>
        <w:t>L’articolo 9 della Legge 22 Febbraio 2000, n. 28 "Disposizioni per la parità di accesso ai mezzi di informazione durante le campagne elettorali e referendarie e per la comunicazione politica"</w:t>
      </w:r>
      <w:r w:rsidR="00D568D2">
        <w:t xml:space="preserve">, fissa </w:t>
      </w:r>
      <w:r>
        <w:t xml:space="preserve">la disciplina della comunicazione istituzionale e </w:t>
      </w:r>
      <w:r w:rsidR="00D568D2">
        <w:t xml:space="preserve">degli </w:t>
      </w:r>
      <w:r>
        <w:t xml:space="preserve">obblighi di informazione in capo alle Pubbliche Amministrazioni. Il </w:t>
      </w:r>
      <w:r w:rsidR="00D568D2">
        <w:t>primo comma dell’articolo</w:t>
      </w:r>
      <w:r>
        <w:t xml:space="preserve"> prevede: “</w:t>
      </w:r>
      <w:r w:rsidRPr="00B9179B">
        <w:rPr>
          <w:i/>
          <w:iCs/>
        </w:rPr>
        <w:t xml:space="preserve">Dalla data di convocazione dei comizi elettorali e fino alla chiusura delle operazioni di voto è fatto divieto a tutte le amministrazioni pubbliche di svolgere attività di comunicazione ad </w:t>
      </w:r>
      <w:r w:rsidRPr="00B9179B">
        <w:rPr>
          <w:i/>
          <w:iCs/>
        </w:rPr>
        <w:lastRenderedPageBreak/>
        <w:t>eccezione di quelle effettuate in forma impersonale ed indispensabili per l'efficace assolvimento delle proprie funzioni.”</w:t>
      </w:r>
    </w:p>
    <w:p w14:paraId="248B8DC7" w14:textId="41285FE6" w:rsidR="00B9179B" w:rsidRDefault="00B9179B" w:rsidP="00B9179B">
      <w:pPr>
        <w:jc w:val="both"/>
      </w:pPr>
      <w:r>
        <w:t xml:space="preserve">Per effetto </w:t>
      </w:r>
      <w:r w:rsidR="00EC6F07">
        <w:t>di questa disposizione</w:t>
      </w:r>
      <w:r>
        <w:t>, le pubbliche amministrazioni non potranno quindi più svolgere attività di comunicazione</w:t>
      </w:r>
      <w:r w:rsidR="00A60EFB">
        <w:t>,</w:t>
      </w:r>
      <w:r>
        <w:t xml:space="preserve"> ad eccezione di quelle effettuate in forma impersonale ed indispensabili per l'efficace assolvimento delle proprie funzioni.</w:t>
      </w:r>
      <w:r w:rsidR="00D568D2">
        <w:t xml:space="preserve"> </w:t>
      </w:r>
      <w:r w:rsidR="00EC6F07">
        <w:t>La</w:t>
      </w:r>
      <w:r w:rsidR="0071786C" w:rsidRPr="0071786C">
        <w:t xml:space="preserve"> disposizione </w:t>
      </w:r>
      <w:r w:rsidR="00D568D2">
        <w:t xml:space="preserve">troverà </w:t>
      </w:r>
      <w:r w:rsidR="0071786C">
        <w:t>pertanto</w:t>
      </w:r>
      <w:r w:rsidR="0071786C" w:rsidRPr="0071786C">
        <w:t xml:space="preserve"> </w:t>
      </w:r>
      <w:r w:rsidR="00D568D2">
        <w:t>applicazione</w:t>
      </w:r>
      <w:r w:rsidR="0071786C" w:rsidRPr="0071786C">
        <w:t xml:space="preserve"> </w:t>
      </w:r>
      <w:r w:rsidR="00A60EFB">
        <w:t xml:space="preserve">a partire </w:t>
      </w:r>
      <w:r w:rsidR="0071786C" w:rsidRPr="0071786C">
        <w:t xml:space="preserve">dal </w:t>
      </w:r>
      <w:r w:rsidR="0071786C">
        <w:t>giorno</w:t>
      </w:r>
      <w:r w:rsidR="00F14389">
        <w:t xml:space="preserve"> </w:t>
      </w:r>
      <w:r w:rsidR="00F14389" w:rsidRPr="00F14389">
        <w:rPr>
          <w:b/>
          <w:bCs/>
        </w:rPr>
        <w:t>11 Aprile 2024</w:t>
      </w:r>
      <w:r w:rsidR="0071786C">
        <w:t xml:space="preserve"> </w:t>
      </w:r>
      <w:r w:rsidR="00D568D2">
        <w:t xml:space="preserve">in cui </w:t>
      </w:r>
      <w:r w:rsidR="00A314D3">
        <w:t>è stato pubblicato il D</w:t>
      </w:r>
      <w:r w:rsidR="00A60EFB">
        <w:t>ecreto del Presidente della Repubblica</w:t>
      </w:r>
      <w:r w:rsidR="00A314D3">
        <w:t xml:space="preserve"> con il quale </w:t>
      </w:r>
      <w:r w:rsidR="00EC6F07">
        <w:t xml:space="preserve">sono </w:t>
      </w:r>
      <w:r w:rsidR="00426F5C">
        <w:t xml:space="preserve">stati </w:t>
      </w:r>
      <w:r w:rsidR="00426F5C" w:rsidRPr="0071786C">
        <w:t>convocati</w:t>
      </w:r>
      <w:r w:rsidR="00D568D2">
        <w:t xml:space="preserve"> i </w:t>
      </w:r>
      <w:r w:rsidR="0071786C" w:rsidRPr="0071786C">
        <w:t>comizi</w:t>
      </w:r>
      <w:r w:rsidR="00A60EFB">
        <w:t>,</w:t>
      </w:r>
      <w:r w:rsidR="0071786C" w:rsidRPr="0071786C">
        <w:t xml:space="preserve"> </w:t>
      </w:r>
      <w:r w:rsidR="00D568D2">
        <w:t xml:space="preserve">e </w:t>
      </w:r>
      <w:r w:rsidR="0071786C">
        <w:t xml:space="preserve">fino </w:t>
      </w:r>
      <w:r w:rsidR="0071786C" w:rsidRPr="0071786C">
        <w:t>alla fine della tornata elettorale</w:t>
      </w:r>
      <w:r w:rsidR="00A60EFB">
        <w:t>, ovvero fino al 9 giugno 2024</w:t>
      </w:r>
      <w:r w:rsidR="0071786C" w:rsidRPr="0071786C">
        <w:t>.</w:t>
      </w:r>
      <w:r w:rsidR="00F14389">
        <w:t xml:space="preserve"> </w:t>
      </w:r>
    </w:p>
    <w:p w14:paraId="1FA05D3C" w14:textId="3D0DA6E6" w:rsidR="00D568D2" w:rsidRDefault="00D568D2" w:rsidP="00D568D2">
      <w:pPr>
        <w:jc w:val="both"/>
      </w:pPr>
      <w:r>
        <w:t>È bene precisare che l’espressione “pubbliche amministrazioni” deve essere intesa in senso istituzionale riguardando gli organi che rappresentano le singole amministrazioni e non con riferimento ai singoli soggetti titolari di cariche pubbliche, i quali, se candidati, possono compiere, da cittadini, attività di propaganda al di fuori dell’esercizio delle proprie funzioni istituzionali, sempre che, a tal fine, non vengano utilizzati mezzi, risorse, personale e strutture assegnati alle pubbliche amministrazioni per lo svolgimento delle loro competenze.</w:t>
      </w:r>
    </w:p>
    <w:p w14:paraId="60BA7CAB" w14:textId="468024B9" w:rsidR="00D568D2" w:rsidRDefault="00D568D2" w:rsidP="00D568D2">
      <w:pPr>
        <w:jc w:val="both"/>
      </w:pPr>
      <w:r>
        <w:t>Per quanto riguarda l’ambito oggettivo del divieto, si ritiene che, sebbene il divieto di comunicazione sia inserito nel corpo di disposizioni per la parità di accesso ai mezzi di informazione, esso trovi applicazione per tutte le forme di comunicazione e non solo per quelle realizzate attraverso i mezzi radiotelevisivi e la stampa.</w:t>
      </w:r>
    </w:p>
    <w:p w14:paraId="76C19E84" w14:textId="3577E7EA" w:rsidR="00213C92" w:rsidRDefault="00213C92" w:rsidP="00213C92">
      <w:pPr>
        <w:jc w:val="both"/>
      </w:pPr>
      <w:r>
        <w:t>L’obiettivo è quello di evitare che l’attività di comunicazione istituzionale delle pubbliche amministrazioni si intrecci con l’attività di propaganda elettorale e che gli eletti uscenti possano utilizzare una posizione di vantaggio istituzionale, derivante dal loro ruolo di amministratori in carica, anche nel rispetto del principio, dettato dall’articolo 97 della Costituzione, dell’imparzialità dell’azione dei pubblici uffici.</w:t>
      </w:r>
      <w:r>
        <w:t xml:space="preserve"> </w:t>
      </w:r>
      <w:r>
        <w:t xml:space="preserve">Si </w:t>
      </w:r>
      <w:r>
        <w:t xml:space="preserve">ribadisce pertanto </w:t>
      </w:r>
      <w:r>
        <w:t>che gli amministratori uscenti, se candidati alle elezioni, possono svolgere attività di propaganda elettorale al di fuori dell’esercizio delle proprie funzioni istituzionali.</w:t>
      </w:r>
    </w:p>
    <w:p w14:paraId="3C0D05C0" w14:textId="4977D4DC" w:rsidR="00EC6F07" w:rsidRDefault="00EC6F07" w:rsidP="00EC6F07">
      <w:pPr>
        <w:jc w:val="both"/>
        <w:rPr>
          <w:i/>
          <w:iCs/>
        </w:rPr>
      </w:pPr>
      <w:r>
        <w:t xml:space="preserve">Trova </w:t>
      </w:r>
      <w:r w:rsidR="00046F32">
        <w:t>infine</w:t>
      </w:r>
      <w:r>
        <w:t xml:space="preserve"> applicazione, per le elezioni comunali, l'art. 29, comma 6, della legge 25 marzo 1993, n. 81, ai sensi del quale "</w:t>
      </w:r>
      <w:r w:rsidRPr="00EC6F07">
        <w:rPr>
          <w:i/>
          <w:iCs/>
        </w:rPr>
        <w:t>è fatto divieto a tutte le pubbliche amministrazioni di svolgere attività di propaganda di qualsiasi genere, ancorché inerente alla loro attività istituzionale, nei trenta giorni antecedenti l'inizio della campagna elettorale e per tutta la durata della stessa".</w:t>
      </w:r>
    </w:p>
    <w:p w14:paraId="1B8B925A" w14:textId="529E72FA" w:rsidR="00426F5C" w:rsidRDefault="00213C92" w:rsidP="00EC6F07">
      <w:pPr>
        <w:jc w:val="both"/>
        <w:rPr>
          <w:i/>
          <w:iCs/>
        </w:rPr>
      </w:pPr>
      <w:r>
        <w:t xml:space="preserve">In proposito, con sentenza n. 79 del 2016 la Corte costituzionale ha chiarito che l’articolo 29, comma 6, della legge n. 81 del 1993 </w:t>
      </w:r>
      <w:r w:rsidRPr="00213C92">
        <w:rPr>
          <w:i/>
          <w:iCs/>
        </w:rPr>
        <w:t>“non è omogenea all'art. 9 della legge n. 28 del 2000, in tema di condotte realizzate dalle amministrazioni in prossimità di elezioni regionali, politiche ed europee</w:t>
      </w:r>
      <w:r>
        <w:t>”.</w:t>
      </w:r>
      <w:r w:rsidR="00F553ED">
        <w:t xml:space="preserve"> </w:t>
      </w:r>
      <w:r>
        <w:t>La massima della Corte afferma</w:t>
      </w:r>
      <w:r w:rsidR="00F553ED">
        <w:t xml:space="preserve"> che la norma</w:t>
      </w:r>
      <w:r w:rsidRPr="00213C92">
        <w:rPr>
          <w:i/>
          <w:iCs/>
        </w:rPr>
        <w:t xml:space="preserve"> </w:t>
      </w:r>
      <w:r w:rsidRPr="00F553ED">
        <w:t>mira ad evitare che la comunicazione istituzionale delle amministrazioni venga piegata ad obiettivi elettorali ed è presidiata da sanzioni irrogate dall'AGCOM, la cui tipologia conferma che destinatari del divieto sono direttamente le amministrazioni pubbliche e non personalmente i soggetti che ne esercitano le funzioni</w:t>
      </w:r>
      <w:r w:rsidRPr="00213C92">
        <w:rPr>
          <w:i/>
          <w:iCs/>
        </w:rPr>
        <w:t xml:space="preserve">. </w:t>
      </w:r>
    </w:p>
    <w:p w14:paraId="22A0966F" w14:textId="2C71883B" w:rsidR="00FB299C" w:rsidRPr="00FB299C" w:rsidRDefault="00FB299C" w:rsidP="00EC6F07">
      <w:pPr>
        <w:jc w:val="both"/>
        <w:rPr>
          <w:u w:val="single"/>
        </w:rPr>
      </w:pPr>
      <w:r w:rsidRPr="00FB299C">
        <w:t xml:space="preserve">Altre importanti indicazioni sui diversi adempimenti </w:t>
      </w:r>
      <w:r>
        <w:t xml:space="preserve">elettorali </w:t>
      </w:r>
      <w:r w:rsidRPr="00FB299C">
        <w:t xml:space="preserve">che gli Uffici </w:t>
      </w:r>
      <w:r>
        <w:t>degli enti territoriali</w:t>
      </w:r>
      <w:r w:rsidRPr="00FB299C">
        <w:t xml:space="preserve"> dovranno eseguire sono</w:t>
      </w:r>
      <w:r>
        <w:t xml:space="preserve"> rinvenibili nella </w:t>
      </w:r>
      <w:r w:rsidRPr="00FB299C">
        <w:rPr>
          <w:u w:val="single"/>
        </w:rPr>
        <w:t xml:space="preserve">Circolare del Ministero dell’Interno n. 30/2024 </w:t>
      </w:r>
      <w:r w:rsidRPr="00FB299C">
        <w:rPr>
          <w:u w:val="single"/>
        </w:rPr>
        <w:t>Prot. Uscita N.0010813 del 12/04/2024</w:t>
      </w:r>
      <w:r>
        <w:rPr>
          <w:u w:val="single"/>
        </w:rPr>
        <w:t>.</w:t>
      </w:r>
      <w:r w:rsidRPr="00FB299C">
        <w:rPr>
          <w:u w:val="single"/>
        </w:rPr>
        <w:t xml:space="preserve"> </w:t>
      </w:r>
    </w:p>
    <w:p w14:paraId="5B0A4186" w14:textId="77777777" w:rsidR="005927CF" w:rsidRDefault="005927CF" w:rsidP="005927CF"/>
    <w:p w14:paraId="6801C1A1" w14:textId="77777777" w:rsidR="005927CF" w:rsidRDefault="005927CF" w:rsidP="005927CF"/>
    <w:sectPr w:rsidR="005927CF">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27CF"/>
    <w:rsid w:val="00024D9C"/>
    <w:rsid w:val="00046F32"/>
    <w:rsid w:val="00060149"/>
    <w:rsid w:val="000971B4"/>
    <w:rsid w:val="001156FC"/>
    <w:rsid w:val="001B405C"/>
    <w:rsid w:val="00213C92"/>
    <w:rsid w:val="00350F30"/>
    <w:rsid w:val="00426F5C"/>
    <w:rsid w:val="0058545A"/>
    <w:rsid w:val="005927CF"/>
    <w:rsid w:val="00603AE0"/>
    <w:rsid w:val="006854AE"/>
    <w:rsid w:val="0071786C"/>
    <w:rsid w:val="0078727D"/>
    <w:rsid w:val="00847D6E"/>
    <w:rsid w:val="00871396"/>
    <w:rsid w:val="008D2141"/>
    <w:rsid w:val="00A05E5A"/>
    <w:rsid w:val="00A314D3"/>
    <w:rsid w:val="00A60EFB"/>
    <w:rsid w:val="00B70C3D"/>
    <w:rsid w:val="00B9179B"/>
    <w:rsid w:val="00C614AE"/>
    <w:rsid w:val="00D17A04"/>
    <w:rsid w:val="00D568D2"/>
    <w:rsid w:val="00DD4F28"/>
    <w:rsid w:val="00E81C80"/>
    <w:rsid w:val="00EC6F07"/>
    <w:rsid w:val="00F14389"/>
    <w:rsid w:val="00F553ED"/>
    <w:rsid w:val="00FB299C"/>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D8826"/>
  <w15:chartTrackingRefBased/>
  <w15:docId w15:val="{EE84406B-808E-4C6C-8AFF-E30AA990F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styleId="Enfasigrassetto">
    <w:name w:val="Strong"/>
    <w:basedOn w:val="Carpredefinitoparagrafo"/>
    <w:uiPriority w:val="22"/>
    <w:qFormat/>
    <w:rsid w:val="00A05E5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1106051">
      <w:bodyDiv w:val="1"/>
      <w:marLeft w:val="0"/>
      <w:marRight w:val="0"/>
      <w:marTop w:val="0"/>
      <w:marBottom w:val="0"/>
      <w:divBdr>
        <w:top w:val="none" w:sz="0" w:space="0" w:color="auto"/>
        <w:left w:val="none" w:sz="0" w:space="0" w:color="auto"/>
        <w:bottom w:val="none" w:sz="0" w:space="0" w:color="auto"/>
        <w:right w:val="none" w:sz="0" w:space="0" w:color="auto"/>
      </w:divBdr>
    </w:div>
    <w:div w:id="352149803">
      <w:bodyDiv w:val="1"/>
      <w:marLeft w:val="0"/>
      <w:marRight w:val="0"/>
      <w:marTop w:val="0"/>
      <w:marBottom w:val="0"/>
      <w:divBdr>
        <w:top w:val="none" w:sz="0" w:space="0" w:color="auto"/>
        <w:left w:val="none" w:sz="0" w:space="0" w:color="auto"/>
        <w:bottom w:val="none" w:sz="0" w:space="0" w:color="auto"/>
        <w:right w:val="none" w:sz="0" w:space="0" w:color="auto"/>
      </w:divBdr>
    </w:div>
    <w:div w:id="543903494">
      <w:bodyDiv w:val="1"/>
      <w:marLeft w:val="0"/>
      <w:marRight w:val="0"/>
      <w:marTop w:val="0"/>
      <w:marBottom w:val="0"/>
      <w:divBdr>
        <w:top w:val="none" w:sz="0" w:space="0" w:color="auto"/>
        <w:left w:val="none" w:sz="0" w:space="0" w:color="auto"/>
        <w:bottom w:val="none" w:sz="0" w:space="0" w:color="auto"/>
        <w:right w:val="none" w:sz="0" w:space="0" w:color="auto"/>
      </w:divBdr>
    </w:div>
    <w:div w:id="977219955">
      <w:bodyDiv w:val="1"/>
      <w:marLeft w:val="0"/>
      <w:marRight w:val="0"/>
      <w:marTop w:val="0"/>
      <w:marBottom w:val="0"/>
      <w:divBdr>
        <w:top w:val="none" w:sz="0" w:space="0" w:color="auto"/>
        <w:left w:val="none" w:sz="0" w:space="0" w:color="auto"/>
        <w:bottom w:val="none" w:sz="0" w:space="0" w:color="auto"/>
        <w:right w:val="none" w:sz="0" w:space="0" w:color="auto"/>
      </w:divBdr>
    </w:div>
    <w:div w:id="11016061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541</TotalTime>
  <Pages>3</Pages>
  <Words>1711</Words>
  <Characters>9754</Characters>
  <Application>Microsoft Office Word</Application>
  <DocSecurity>0</DocSecurity>
  <Lines>81</Lines>
  <Paragraphs>22</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11443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merciari</dc:creator>
  <cp:keywords/>
  <dc:description/>
  <cp:lastModifiedBy>alessandro merciari</cp:lastModifiedBy>
  <cp:revision>18</cp:revision>
  <dcterms:created xsi:type="dcterms:W3CDTF">2024-04-12T10:28:00Z</dcterms:created>
  <dcterms:modified xsi:type="dcterms:W3CDTF">2024-04-15T13:58:00Z</dcterms:modified>
</cp:coreProperties>
</file>