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ADFC2" w14:textId="2745D249" w:rsidR="00964CB1" w:rsidRDefault="008F49A9">
      <w:r>
        <w:t xml:space="preserve">Titolo: ancora una sentenza sulla corretta </w:t>
      </w:r>
      <w:r w:rsidR="00F72C6C">
        <w:t>disciplina</w:t>
      </w:r>
      <w:r>
        <w:t xml:space="preserve"> CUP </w:t>
      </w:r>
      <w:r w:rsidR="00F72C6C">
        <w:t>da applicare al</w:t>
      </w:r>
      <w:r>
        <w:t>le antenne di telefonia</w:t>
      </w:r>
    </w:p>
    <w:p w14:paraId="31DEB2AE" w14:textId="141439ED" w:rsidR="008F49A9" w:rsidRDefault="008F49A9">
      <w:r>
        <w:t xml:space="preserve">Argomento sempre d’attualità quello relativo il trattamento tariffario da riservare alle occupazioni </w:t>
      </w:r>
      <w:r w:rsidR="00F72C6C">
        <w:t xml:space="preserve">di suolo pubblico realizzate con le </w:t>
      </w:r>
      <w:r w:rsidR="00F72C6C">
        <w:t xml:space="preserve">infrastrutture </w:t>
      </w:r>
      <w:r w:rsidR="00F72C6C">
        <w:t xml:space="preserve">dedicate alle telecomunicazioni </w:t>
      </w:r>
      <w:r w:rsidR="00F72C6C">
        <w:t>via etere</w:t>
      </w:r>
      <w:r>
        <w:t>.</w:t>
      </w:r>
    </w:p>
    <w:p w14:paraId="00023D66" w14:textId="58F8A3DF" w:rsidR="008F49A9" w:rsidRDefault="008F49A9" w:rsidP="008F49A9">
      <w:pPr>
        <w:jc w:val="both"/>
      </w:pPr>
      <w:r>
        <w:t xml:space="preserve">Questa volta ad esprimersi è il TAR di Trento che prende posizione sul trattamento da riservare a queste </w:t>
      </w:r>
      <w:r w:rsidRPr="00414004">
        <w:rPr>
          <w:b/>
          <w:bCs/>
        </w:rPr>
        <w:t xml:space="preserve">particolari </w:t>
      </w:r>
      <w:r w:rsidR="00F72C6C">
        <w:rPr>
          <w:b/>
          <w:bCs/>
        </w:rPr>
        <w:t>manufatti</w:t>
      </w:r>
      <w:r w:rsidRPr="00414004">
        <w:rPr>
          <w:b/>
          <w:bCs/>
        </w:rPr>
        <w:t xml:space="preserve"> che </w:t>
      </w:r>
      <w:r w:rsidR="00F72C6C">
        <w:rPr>
          <w:b/>
          <w:bCs/>
        </w:rPr>
        <w:t xml:space="preserve">occupano spazi </w:t>
      </w:r>
      <w:r w:rsidR="00F127A4">
        <w:rPr>
          <w:b/>
          <w:bCs/>
        </w:rPr>
        <w:t xml:space="preserve">appartenenti </w:t>
      </w:r>
      <w:r w:rsidR="00F127A4" w:rsidRPr="00414004">
        <w:rPr>
          <w:b/>
          <w:bCs/>
        </w:rPr>
        <w:t>al</w:t>
      </w:r>
      <w:r w:rsidRPr="00414004">
        <w:rPr>
          <w:b/>
          <w:bCs/>
        </w:rPr>
        <w:t xml:space="preserve"> patrimonio indisponibile degli enti territoriali.</w:t>
      </w:r>
      <w:r>
        <w:t xml:space="preserve"> </w:t>
      </w:r>
    </w:p>
    <w:p w14:paraId="375FE1EA" w14:textId="4FEA34D5" w:rsidR="008F49A9" w:rsidRDefault="008F49A9" w:rsidP="008F49A9">
      <w:pPr>
        <w:jc w:val="both"/>
      </w:pPr>
      <w:r>
        <w:t xml:space="preserve">I giudici </w:t>
      </w:r>
      <w:r w:rsidR="00F127A4">
        <w:t xml:space="preserve">amministrativi, </w:t>
      </w:r>
      <w:r w:rsidR="00F72C6C">
        <w:t xml:space="preserve">in una recente sentenza pubblicata lo scorso 5 giugno, </w:t>
      </w:r>
      <w:r>
        <w:t>si allineano alla tesi sostenuta dalla difesa d</w:t>
      </w:r>
      <w:r w:rsidR="00F72C6C">
        <w:t xml:space="preserve">i una nota </w:t>
      </w:r>
      <w:r>
        <w:t>Corporate</w:t>
      </w:r>
      <w:r w:rsidR="00F72C6C">
        <w:t xml:space="preserve"> telefonica</w:t>
      </w:r>
      <w:r>
        <w:t xml:space="preserve">, contro le richieste di Canone avanzate dal Comune che aveva definito un impianto tariffario basato </w:t>
      </w:r>
      <w:r w:rsidR="007F55B0">
        <w:t>sostanzialmente</w:t>
      </w:r>
      <w:r>
        <w:t xml:space="preserve"> sui due principi cardine che ispirano, o dovrebbero ispirare,</w:t>
      </w:r>
      <w:r w:rsidR="007F55B0">
        <w:t xml:space="preserve"> </w:t>
      </w:r>
      <w:r>
        <w:t xml:space="preserve"> gli enti territoriali in relazione </w:t>
      </w:r>
      <w:r w:rsidR="007F55B0">
        <w:t xml:space="preserve">agli impianti tariffari </w:t>
      </w:r>
      <w:r>
        <w:t xml:space="preserve">alle diverse fattispecie di occupazioni realizzate sul </w:t>
      </w:r>
      <w:r w:rsidR="007F55B0">
        <w:t>proprio</w:t>
      </w:r>
      <w:r>
        <w:t xml:space="preserve"> territorio.</w:t>
      </w:r>
    </w:p>
    <w:p w14:paraId="76D0D410" w14:textId="77777777" w:rsidR="008F49A9" w:rsidRDefault="008F49A9" w:rsidP="008F49A9">
      <w:pPr>
        <w:jc w:val="both"/>
      </w:pPr>
      <w:r>
        <w:t>Più volte abbiamo parlato del principio di sacrificio imposto alla collettività e del principio di beneficio economico che il concessionario dell’area pubblica ritrae proprio grazie alla presenza dell’occupazione.</w:t>
      </w:r>
    </w:p>
    <w:p w14:paraId="2EC13A98" w14:textId="621D9162" w:rsidR="008F49A9" w:rsidRDefault="008F49A9" w:rsidP="008F49A9">
      <w:pPr>
        <w:jc w:val="both"/>
      </w:pPr>
      <w:r>
        <w:t xml:space="preserve">Quale fattispecie più delle antenne di telefonia esaltano i valori di questi principi e di conseguenza dei </w:t>
      </w:r>
      <w:r w:rsidR="007F55B0">
        <w:t xml:space="preserve">potenziali </w:t>
      </w:r>
      <w:r>
        <w:t>coefficienti moltiplicatori rispetto alla tariffa base?</w:t>
      </w:r>
    </w:p>
    <w:p w14:paraId="6E5D0224" w14:textId="1327DBB1" w:rsidR="008F49A9" w:rsidRDefault="008F49A9" w:rsidP="008F49A9">
      <w:pPr>
        <w:jc w:val="both"/>
      </w:pPr>
      <w:r>
        <w:t xml:space="preserve">È noto come le antenne di telefonia creino problemi di convivenza con i cittadini del quartiere dove </w:t>
      </w:r>
      <w:r w:rsidR="007F55B0">
        <w:t>vengono</w:t>
      </w:r>
      <w:r>
        <w:t xml:space="preserve"> posizionate ed </w:t>
      </w:r>
      <w:r w:rsidR="00F127A4">
        <w:t>allo stesso</w:t>
      </w:r>
      <w:r w:rsidR="007F55B0">
        <w:t xml:space="preserve"> tempo è </w:t>
      </w:r>
      <w:r>
        <w:t>evidente come la trasmissione del segnale</w:t>
      </w:r>
      <w:r w:rsidR="007F55B0">
        <w:t xml:space="preserve"> via etere</w:t>
      </w:r>
      <w:r>
        <w:t xml:space="preserve"> generi un fatturato rilevante a favore del soggetto economico che utilizza l’infrastruttura</w:t>
      </w:r>
      <w:r w:rsidR="007F55B0">
        <w:t xml:space="preserve"> e serve i potenziali clienti dell’area</w:t>
      </w:r>
      <w:r>
        <w:t>.</w:t>
      </w:r>
    </w:p>
    <w:p w14:paraId="20614AD7" w14:textId="59A7E66B" w:rsidR="008F49A9" w:rsidRDefault="008F49A9" w:rsidP="007A5B26">
      <w:pPr>
        <w:jc w:val="both"/>
      </w:pPr>
      <w:r>
        <w:t xml:space="preserve">I giudici </w:t>
      </w:r>
      <w:r w:rsidR="00414004">
        <w:t>Amministrativi</w:t>
      </w:r>
      <w:r>
        <w:t xml:space="preserve">, tuttavia non seguono questa linea di principio, anzi in </w:t>
      </w:r>
      <w:r w:rsidR="00414004">
        <w:t>qualche</w:t>
      </w:r>
      <w:r>
        <w:t xml:space="preserve"> modo disconoscono l’autonomia impositiva e la potestà regolamentare riconosciuta agli enti territoriali in materia di proprie entrate</w:t>
      </w:r>
      <w:r w:rsidR="007A5B26">
        <w:t xml:space="preserve">. Nella sentenza in commento si legge: </w:t>
      </w:r>
      <w:r w:rsidR="007A5B26" w:rsidRPr="007A5B26">
        <w:rPr>
          <w:i/>
          <w:iCs/>
        </w:rPr>
        <w:t xml:space="preserve">“Alle occupazioni effettuate per l’insediamento di impianti di telefonia mobile, che hanno carattere di pubblica utilità e sono assimilati alle opere di urbanizzazione primaria, </w:t>
      </w:r>
      <w:r w:rsidR="007A5B26" w:rsidRPr="007A5B26">
        <w:rPr>
          <w:i/>
          <w:iCs/>
          <w:u w:val="single"/>
        </w:rPr>
        <w:t>viene riservata una disciplina peggiorativa e un canone vessatorio al solo fine di assicurare un vantaggio finanziario al Comune</w:t>
      </w:r>
      <w:r w:rsidR="007A5B26" w:rsidRPr="007A5B26">
        <w:rPr>
          <w:i/>
          <w:iCs/>
        </w:rPr>
        <w:t xml:space="preserve">. Ciò configura una illegittima imposta extra </w:t>
      </w:r>
      <w:proofErr w:type="spellStart"/>
      <w:r w:rsidR="007A5B26" w:rsidRPr="007A5B26">
        <w:rPr>
          <w:i/>
          <w:iCs/>
        </w:rPr>
        <w:t>ordinem</w:t>
      </w:r>
      <w:proofErr w:type="spellEnd"/>
      <w:r w:rsidR="007A5B26" w:rsidRPr="007A5B26">
        <w:rPr>
          <w:i/>
          <w:iCs/>
        </w:rPr>
        <w:t xml:space="preserve"> sull’attività di impresa e la violazione della Direttiva 2018/1972/UE (“Codice europeo delle comunicazioni elettroniche”), recepito con d.lgs. 8 novembre 2021, n. 207.”</w:t>
      </w:r>
      <w:r>
        <w:t xml:space="preserve"> </w:t>
      </w:r>
    </w:p>
    <w:p w14:paraId="67131C50" w14:textId="59B28344" w:rsidR="007A5B26" w:rsidRDefault="007A5B26" w:rsidP="007A5B26">
      <w:pPr>
        <w:jc w:val="both"/>
      </w:pPr>
      <w:r>
        <w:t xml:space="preserve">Nella sentenza si prende una posizione anche sulla scelta del Comune di applicare ad altre fattispecie dei coefficienti inferiori a 1 rispetto alla tariffa base individuata dal Legislatore, ponendo l’attenzione sulla circostanza secondo la quale il Comune non avrebbe reso chiare le ragioni di tale ribasso, alla luce di quanto previsto dal comma 824, della legge n. 160 del 2019. Non avendo </w:t>
      </w:r>
      <w:r w:rsidR="00414004">
        <w:t xml:space="preserve">così </w:t>
      </w:r>
      <w:r>
        <w:t>adeguatamente motivato la scelta, l’intero sistema di tariffazione del canone unico del Comune risulterebbe arbitrario ed illegittimo.</w:t>
      </w:r>
    </w:p>
    <w:p w14:paraId="6F4AF00D" w14:textId="77777777" w:rsidR="00414004" w:rsidRDefault="00D710C6" w:rsidP="00D710C6">
      <w:pPr>
        <w:jc w:val="both"/>
        <w:rPr>
          <w:i/>
          <w:iCs/>
        </w:rPr>
      </w:pPr>
      <w:r>
        <w:t xml:space="preserve">I giudici </w:t>
      </w:r>
      <w:r w:rsidR="00414004">
        <w:t xml:space="preserve">entrando </w:t>
      </w:r>
      <w:r>
        <w:t>nel merito della vertenza hanno spiegato:</w:t>
      </w:r>
      <w:r w:rsidRPr="00D710C6">
        <w:rPr>
          <w:i/>
          <w:iCs/>
        </w:rPr>
        <w:t xml:space="preserve"> “Venendo ora alla definizione del merito della presente causa, vale altresì premettere in linea generale che “la fornitura di reti e servizi di comunicazione elettronica, .....è di preminente interesse generale, ....” (cfr. art. 3 del d.lgs. 1 agosto 2003, n. 259). Inoltre le infrastrutture di reti pubbliche di comunicazione sono assimilate ad ogni effetto alle opere di urbanizzazione primaria (cfr. art. 86 comma 3 del d.lgs. 1 agosto 2003, n. 259 nel testo ante riforma 2021) e </w:t>
      </w:r>
      <w:r w:rsidRPr="00D710C6">
        <w:rPr>
          <w:i/>
          <w:iCs/>
          <w:u w:val="single"/>
        </w:rPr>
        <w:t xml:space="preserve">gli impianti in questione e le opere accessorie occorrenti per la loro funzionalità hanno “carattere di pubblica utilità” </w:t>
      </w:r>
      <w:r w:rsidRPr="00D710C6">
        <w:rPr>
          <w:i/>
          <w:iCs/>
        </w:rPr>
        <w:t>(cfr. art. 90 del d.lgs. 1 agosto 2003, n. 259 nel testo ante riforma 2021)”</w:t>
      </w:r>
      <w:r>
        <w:rPr>
          <w:i/>
          <w:iCs/>
        </w:rPr>
        <w:t xml:space="preserve">. </w:t>
      </w:r>
    </w:p>
    <w:p w14:paraId="5D5DA42B" w14:textId="4392BC34" w:rsidR="00D710C6" w:rsidRDefault="00D710C6" w:rsidP="00D710C6">
      <w:pPr>
        <w:jc w:val="both"/>
      </w:pPr>
      <w:r w:rsidRPr="00D710C6">
        <w:t>Viene presa quindi una netta posizione sulla tematica che impone ai Comuni l’applicazione dei regimi più favorevoli previsti per queste tipologie di occupazioni quando realizzate su aree demaniali o appartenenti al patrimonio indisponibile, ovvero quando sono attratte nel presupposto applicativo previsto dl comma 819 lettera B della legge 160</w:t>
      </w:r>
      <w:r>
        <w:t>/</w:t>
      </w:r>
      <w:r w:rsidRPr="00D710C6">
        <w:t>2019.</w:t>
      </w:r>
    </w:p>
    <w:p w14:paraId="7C93B2BC" w14:textId="4391CD34" w:rsidR="00D710C6" w:rsidRDefault="00D710C6" w:rsidP="00D710C6">
      <w:pPr>
        <w:jc w:val="both"/>
        <w:rPr>
          <w:i/>
          <w:iCs/>
        </w:rPr>
      </w:pPr>
      <w:r w:rsidRPr="00414004">
        <w:rPr>
          <w:b/>
          <w:bCs/>
        </w:rPr>
        <w:t xml:space="preserve">Viene </w:t>
      </w:r>
      <w:r w:rsidR="00414004" w:rsidRPr="00414004">
        <w:rPr>
          <w:b/>
          <w:bCs/>
        </w:rPr>
        <w:t xml:space="preserve">più volte </w:t>
      </w:r>
      <w:r w:rsidRPr="00414004">
        <w:rPr>
          <w:b/>
          <w:bCs/>
        </w:rPr>
        <w:t>richiamata la necessità di rispettare l’articolo 93 del Codice delle telecomunicazioni</w:t>
      </w:r>
      <w:r>
        <w:t xml:space="preserve"> che impone alle Pubbliche Amministrazioni di non </w:t>
      </w:r>
      <w:r w:rsidR="00841F0B">
        <w:t>applicare agli impianti per le comunicazioni</w:t>
      </w:r>
      <w:r>
        <w:t xml:space="preserve"> elettronic</w:t>
      </w:r>
      <w:r w:rsidR="00841F0B">
        <w:t>he</w:t>
      </w:r>
      <w:r>
        <w:t xml:space="preserve">, oneri </w:t>
      </w:r>
      <w:r>
        <w:lastRenderedPageBreak/>
        <w:t>o</w:t>
      </w:r>
      <w:r w:rsidR="00414004">
        <w:t xml:space="preserve"> </w:t>
      </w:r>
      <w:r>
        <w:t xml:space="preserve">canoni che non siano stabiliti per legge. </w:t>
      </w:r>
      <w:r w:rsidR="00841F0B">
        <w:t>“</w:t>
      </w:r>
      <w:r w:rsidRPr="00841F0B">
        <w:rPr>
          <w:i/>
          <w:iCs/>
        </w:rPr>
        <w:t>(...) Nessun altro onere finanziario, reale o</w:t>
      </w:r>
      <w:r w:rsidRPr="00841F0B">
        <w:rPr>
          <w:i/>
          <w:iCs/>
        </w:rPr>
        <w:br/>
        <w:t>contributo può essere imposto, in conseguenza dell’esecuzione delle opere di cui al Codice</w:t>
      </w:r>
      <w:r w:rsidRPr="00841F0B">
        <w:rPr>
          <w:i/>
          <w:iCs/>
        </w:rPr>
        <w:br/>
        <w:t>o per l’esercizio dei servizi di comunicazione elettronica, fatta salva l’applicazione della</w:t>
      </w:r>
      <w:r w:rsidRPr="00841F0B">
        <w:rPr>
          <w:i/>
          <w:iCs/>
        </w:rPr>
        <w:br/>
        <w:t>tassa per l’occupazione di spazi ed aree pubbliche</w:t>
      </w:r>
      <w:r w:rsidR="00841F0B" w:rsidRPr="00841F0B">
        <w:rPr>
          <w:i/>
          <w:iCs/>
        </w:rPr>
        <w:t>…”</w:t>
      </w:r>
    </w:p>
    <w:p w14:paraId="118C54A8" w14:textId="63FFFA4C" w:rsidR="00782468" w:rsidRDefault="00782468" w:rsidP="00D710C6">
      <w:pPr>
        <w:jc w:val="both"/>
        <w:rPr>
          <w:i/>
          <w:iCs/>
        </w:rPr>
      </w:pPr>
      <w:r>
        <w:t xml:space="preserve">Secondo i giudici il fine perseguito dall’articolo 93 </w:t>
      </w:r>
      <w:r w:rsidRPr="00782468">
        <w:rPr>
          <w:i/>
          <w:iCs/>
        </w:rPr>
        <w:t>“consiste nell’agevolare l’installazione di</w:t>
      </w:r>
      <w:r w:rsidRPr="00782468">
        <w:rPr>
          <w:i/>
          <w:iCs/>
        </w:rPr>
        <w:br/>
        <w:t>nuovi apparati di telecomunicazione, impedendo che gli operatori del settore, per poter</w:t>
      </w:r>
      <w:r w:rsidRPr="00782468">
        <w:rPr>
          <w:i/>
          <w:iCs/>
        </w:rPr>
        <w:br/>
        <w:t>conseguire la disponibilità dei beni pubblici e delle infrastrutture occorrenti alla gestione</w:t>
      </w:r>
      <w:r w:rsidRPr="00782468">
        <w:rPr>
          <w:i/>
          <w:iCs/>
        </w:rPr>
        <w:br/>
        <w:t>del servizio, siano costretti a subire condizioni inique o discriminatorie”</w:t>
      </w:r>
    </w:p>
    <w:p w14:paraId="13E8E509" w14:textId="295463C4" w:rsidR="00782468" w:rsidRPr="0009537E" w:rsidRDefault="0009537E" w:rsidP="0009537E">
      <w:pPr>
        <w:jc w:val="both"/>
        <w:rPr>
          <w:i/>
          <w:iCs/>
          <w:u w:val="single"/>
        </w:rPr>
      </w:pPr>
      <w:r w:rsidRPr="00414004">
        <w:rPr>
          <w:b/>
          <w:bCs/>
        </w:rPr>
        <w:t>Viene così contestato al Comune di non aver agevolato l’attività delle compagnie telefoniche ma anzi di aver penalizzato tali occupazioni rispetto a tutte le altre fattispecie</w:t>
      </w:r>
      <w:r>
        <w:t>. Nell</w:t>
      </w:r>
      <w:r w:rsidR="00414004">
        <w:t>e</w:t>
      </w:r>
      <w:r>
        <w:t xml:space="preserve"> motivazioni dei giudici si legge: </w:t>
      </w:r>
      <w:r w:rsidRPr="0009537E">
        <w:rPr>
          <w:i/>
          <w:iCs/>
        </w:rPr>
        <w:t>Al</w:t>
      </w:r>
      <w:r>
        <w:rPr>
          <w:i/>
          <w:iCs/>
        </w:rPr>
        <w:t xml:space="preserve"> </w:t>
      </w:r>
      <w:r w:rsidRPr="0009537E">
        <w:rPr>
          <w:i/>
          <w:iCs/>
        </w:rPr>
        <w:t>riguardo coglie, infatti, senz’altro nel segno la difesa di parte ricorrente</w:t>
      </w:r>
      <w:r>
        <w:rPr>
          <w:i/>
          <w:iCs/>
        </w:rPr>
        <w:t xml:space="preserve"> </w:t>
      </w:r>
      <w:r w:rsidRPr="0009537E">
        <w:rPr>
          <w:i/>
          <w:iCs/>
        </w:rPr>
        <w:t>laddove rileva che non solo non sono state previste “speciali agevolazioni” ma,</w:t>
      </w:r>
      <w:r>
        <w:rPr>
          <w:i/>
          <w:iCs/>
        </w:rPr>
        <w:t xml:space="preserve"> </w:t>
      </w:r>
      <w:r w:rsidRPr="0009537E">
        <w:rPr>
          <w:i/>
          <w:iCs/>
        </w:rPr>
        <w:t>all’opposto, sono state disposte condizioni particolarmente peggiorative del</w:t>
      </w:r>
      <w:r>
        <w:rPr>
          <w:i/>
          <w:iCs/>
        </w:rPr>
        <w:t xml:space="preserve"> </w:t>
      </w:r>
      <w:r w:rsidRPr="0009537E">
        <w:rPr>
          <w:i/>
          <w:iCs/>
        </w:rPr>
        <w:t>canone. Nonostante che nella determinazione dell’importo del canone e del</w:t>
      </w:r>
      <w:r>
        <w:rPr>
          <w:i/>
          <w:iCs/>
        </w:rPr>
        <w:t xml:space="preserve"> </w:t>
      </w:r>
      <w:r w:rsidRPr="0009537E">
        <w:rPr>
          <w:i/>
          <w:iCs/>
        </w:rPr>
        <w:t>pari del corrispettivo, equiparato al canone, della detenzione proseguita a</w:t>
      </w:r>
      <w:r>
        <w:rPr>
          <w:i/>
          <w:iCs/>
        </w:rPr>
        <w:t xml:space="preserve"> </w:t>
      </w:r>
      <w:r w:rsidRPr="0009537E">
        <w:rPr>
          <w:i/>
          <w:iCs/>
        </w:rPr>
        <w:t>concessione scaduta, venga in rilievo il potere discrezionale</w:t>
      </w:r>
      <w:r>
        <w:rPr>
          <w:i/>
          <w:iCs/>
        </w:rPr>
        <w:t xml:space="preserve"> </w:t>
      </w:r>
      <w:r w:rsidRPr="0009537E">
        <w:rPr>
          <w:i/>
          <w:iCs/>
        </w:rPr>
        <w:t xml:space="preserve">dell’Amministrazione concedente (cfr. art. 133 comma 1 lett. b), </w:t>
      </w:r>
      <w:proofErr w:type="spellStart"/>
      <w:r w:rsidRPr="0009537E">
        <w:rPr>
          <w:i/>
          <w:iCs/>
        </w:rPr>
        <w:t>c.p.a</w:t>
      </w:r>
      <w:proofErr w:type="spellEnd"/>
      <w:r w:rsidRPr="0009537E">
        <w:rPr>
          <w:i/>
          <w:iCs/>
        </w:rPr>
        <w:t>.),</w:t>
      </w:r>
      <w:r>
        <w:rPr>
          <w:i/>
          <w:iCs/>
        </w:rPr>
        <w:t xml:space="preserve"> </w:t>
      </w:r>
      <w:r w:rsidRPr="0009537E">
        <w:rPr>
          <w:i/>
          <w:iCs/>
        </w:rPr>
        <w:t xml:space="preserve">nella specie </w:t>
      </w:r>
      <w:r w:rsidRPr="0009537E">
        <w:rPr>
          <w:i/>
          <w:iCs/>
          <w:u w:val="single"/>
        </w:rPr>
        <w:t>l’agire dell’Amministrazione evidenzia manifesti profili di irragionevolezza e sproporzione che giustificano il sindacato di legittimità del giudice amministrativo</w:t>
      </w:r>
      <w:r w:rsidRPr="0009537E">
        <w:rPr>
          <w:i/>
          <w:iCs/>
        </w:rPr>
        <w:t>. Si badi che con deliberazione consiliare del 6</w:t>
      </w:r>
      <w:r>
        <w:rPr>
          <w:i/>
          <w:iCs/>
        </w:rPr>
        <w:t xml:space="preserve"> </w:t>
      </w:r>
      <w:r w:rsidRPr="0009537E">
        <w:rPr>
          <w:i/>
          <w:iCs/>
        </w:rPr>
        <w:t>dicembre 2016, n. 143, quindi ben successivamente all’entrata in vigore l’1</w:t>
      </w:r>
      <w:r>
        <w:rPr>
          <w:i/>
          <w:iCs/>
        </w:rPr>
        <w:t xml:space="preserve"> </w:t>
      </w:r>
      <w:r w:rsidRPr="0009537E">
        <w:rPr>
          <w:i/>
          <w:iCs/>
        </w:rPr>
        <w:t>giugno 2012 della disposizione che impone ai Comuni di contemplare</w:t>
      </w:r>
      <w:r>
        <w:rPr>
          <w:i/>
          <w:iCs/>
        </w:rPr>
        <w:t xml:space="preserve"> </w:t>
      </w:r>
      <w:r w:rsidRPr="0009537E">
        <w:rPr>
          <w:i/>
          <w:iCs/>
        </w:rPr>
        <w:t xml:space="preserve">“speciali agevolazioni” nel regolamento COSAP, </w:t>
      </w:r>
      <w:r w:rsidRPr="0009537E">
        <w:rPr>
          <w:i/>
          <w:iCs/>
          <w:u w:val="single"/>
        </w:rPr>
        <w:t>è stato introdotto un coefficiente moltiplicatore pari a 14 per la tipologia di occupazione “stazioni base per la diffusione di segnale radiotelefonico al servizio della telefonia cellulare” che risulta essere superiore a tutte le altre attività</w:t>
      </w:r>
      <w:r w:rsidRPr="0009537E">
        <w:rPr>
          <w:i/>
          <w:iCs/>
        </w:rPr>
        <w:t>. Infatti anche le occupazioni</w:t>
      </w:r>
      <w:r>
        <w:rPr>
          <w:i/>
          <w:iCs/>
        </w:rPr>
        <w:t xml:space="preserve"> </w:t>
      </w:r>
      <w:r w:rsidRPr="0009537E">
        <w:rPr>
          <w:i/>
          <w:iCs/>
        </w:rPr>
        <w:t>di suolo pubblico, non certo di “particolare interesse pubblico”, per impianti</w:t>
      </w:r>
      <w:r>
        <w:rPr>
          <w:i/>
          <w:iCs/>
        </w:rPr>
        <w:t xml:space="preserve"> </w:t>
      </w:r>
      <w:r w:rsidRPr="0009537E">
        <w:rPr>
          <w:i/>
          <w:iCs/>
        </w:rPr>
        <w:t>pubblicitari o per chioschi che, eccettuata l’occupazione per stazioni base,</w:t>
      </w:r>
      <w:r>
        <w:rPr>
          <w:i/>
          <w:iCs/>
        </w:rPr>
        <w:t xml:space="preserve"> </w:t>
      </w:r>
      <w:r w:rsidRPr="0009537E">
        <w:rPr>
          <w:i/>
          <w:iCs/>
        </w:rPr>
        <w:t>comportano i coefficienti più elevati, si arrestano comunque al valore di 10</w:t>
      </w:r>
      <w:r>
        <w:rPr>
          <w:i/>
          <w:iCs/>
        </w:rPr>
        <w:t xml:space="preserve"> </w:t>
      </w:r>
      <w:r w:rsidRPr="0009537E">
        <w:rPr>
          <w:i/>
          <w:iCs/>
        </w:rPr>
        <w:t>o 5. In altri termini, non vi è stata da parte del Comune una mera inerzia</w:t>
      </w:r>
      <w:r>
        <w:rPr>
          <w:i/>
          <w:iCs/>
        </w:rPr>
        <w:t xml:space="preserve"> </w:t>
      </w:r>
      <w:r w:rsidRPr="0009537E">
        <w:rPr>
          <w:i/>
          <w:iCs/>
        </w:rPr>
        <w:t xml:space="preserve">regolamentare bensì </w:t>
      </w:r>
      <w:r w:rsidRPr="0009537E">
        <w:rPr>
          <w:i/>
          <w:iCs/>
          <w:u w:val="single"/>
        </w:rPr>
        <w:t>un’azione puntuale in senso opposto rispetto a quanto il Comune era tenuto, e l’aver previsto un coefficiente superiore a tutti gli altri equivale palesemente a non introdurre le speciali agevolazioni per occupazioni di particolare interesse pubblico (quale quella in esame) che invece la legge prescrive</w:t>
      </w:r>
      <w:r w:rsidRPr="0009537E">
        <w:rPr>
          <w:i/>
          <w:iCs/>
        </w:rPr>
        <w:t xml:space="preserve">. </w:t>
      </w:r>
      <w:r w:rsidRPr="0009537E">
        <w:rPr>
          <w:i/>
          <w:iCs/>
          <w:u w:val="single"/>
        </w:rPr>
        <w:t xml:space="preserve">Un coefficiente pari a 14 è inoltre irragionevole e sproporzionato anche considerato che dal 2022 il canone non può superare l’importo di 800 euro ai sensi del comma 831-bis dell’art. 1 della legge 27 dicembre 2019 n. 160, e che tale importo non può che rappresentare un ragionevole parametro di adeguatezza delle speciali agevolazioni imposte nella determinazione della tariffa già dalla legislazione previgente </w:t>
      </w:r>
    </w:p>
    <w:p w14:paraId="6299741C" w14:textId="6832B526" w:rsidR="00D710C6" w:rsidRDefault="00D47CD1" w:rsidP="00D47CD1">
      <w:pPr>
        <w:jc w:val="both"/>
      </w:pPr>
      <w:r w:rsidRPr="00D47CD1">
        <w:t xml:space="preserve">A questo punto diventa dirimente capire la natura dell’area in cui viene richiesto di installare l’antenna con una infrastruttura fisica che potrà essere condivisa con </w:t>
      </w:r>
      <w:r>
        <w:t xml:space="preserve">la collocazione di diversi </w:t>
      </w:r>
      <w:r>
        <w:t>impianti sulla stazione base esistente (co-</w:t>
      </w:r>
      <w:proofErr w:type="spellStart"/>
      <w:r>
        <w:t>siting</w:t>
      </w:r>
      <w:proofErr w:type="spellEnd"/>
      <w:r>
        <w:t xml:space="preserve">) o che </w:t>
      </w:r>
      <w:r>
        <w:t xml:space="preserve">invece </w:t>
      </w:r>
      <w:r>
        <w:t>utilizzi l’impianto del</w:t>
      </w:r>
      <w:r>
        <w:t xml:space="preserve"> </w:t>
      </w:r>
      <w:r>
        <w:t>concessionario originario (sharing)</w:t>
      </w:r>
      <w:r>
        <w:t xml:space="preserve">. </w:t>
      </w:r>
    </w:p>
    <w:p w14:paraId="7F7E9EDF" w14:textId="6BA23DEC" w:rsidR="00D47CD1" w:rsidRDefault="00D47CD1" w:rsidP="00D47CD1">
      <w:pPr>
        <w:jc w:val="both"/>
      </w:pPr>
      <w:r>
        <w:t xml:space="preserve">I giudici ancora una volta bloccano le iniziative dei Comuni che avevano </w:t>
      </w:r>
      <w:r w:rsidR="00DF5958">
        <w:t>adottato</w:t>
      </w:r>
      <w:r>
        <w:t xml:space="preserve"> la politica di richiedere </w:t>
      </w:r>
      <w:r w:rsidR="00B520DD">
        <w:t>il pagamento  in misura nettamente superiore a tutte le altre fattispecie, anche per le occupazioni realizzate sul patrimonio indisponibile dell’ente. Tuttavia, seguendo l’orientamento oramai diffuso, la possibilità di definire un canone più rispondente ai principi messi in capo dall’ente locale, viene ammesso solo nei casi in cui l’occupazione si realizzi solo sul patrimonio disponibile dell’ente.</w:t>
      </w:r>
    </w:p>
    <w:p w14:paraId="70CE52A0" w14:textId="0F93F88E" w:rsidR="00DF5958" w:rsidRDefault="00DF5958" w:rsidP="00D47CD1">
      <w:pPr>
        <w:jc w:val="both"/>
      </w:pPr>
      <w:r>
        <w:t>Sarà pertanto decisivo fornire la giusta valutazione dell’area sulla quale concedere la concessione per l’installazione dell’antenna e non precludersi la possibilità di ottenere un giusto canone/corrispettivo secondo la disciplina civilistica che regola i rapporti quando si parla di aree appartenenti al patrimonio disponibile.</w:t>
      </w:r>
    </w:p>
    <w:p w14:paraId="59A8B532" w14:textId="77777777" w:rsidR="004F235B" w:rsidRDefault="004F235B" w:rsidP="00D47CD1">
      <w:pPr>
        <w:jc w:val="both"/>
      </w:pPr>
    </w:p>
    <w:p w14:paraId="76F9719D" w14:textId="4E2BA8E0" w:rsidR="004F235B" w:rsidRDefault="004F235B" w:rsidP="00D47CD1">
      <w:pPr>
        <w:jc w:val="both"/>
      </w:pPr>
      <w:r>
        <w:t xml:space="preserve">Allegato: sentenza </w:t>
      </w:r>
      <w:r w:rsidRPr="004F235B">
        <w:t>TRGA-Trento-Sez.Unica-Sentenza-85-del-5_6_2023</w:t>
      </w:r>
    </w:p>
    <w:p w14:paraId="530E8C0C" w14:textId="77777777" w:rsidR="004F235B" w:rsidRDefault="004F235B" w:rsidP="00D47CD1">
      <w:pPr>
        <w:jc w:val="both"/>
      </w:pPr>
    </w:p>
    <w:p w14:paraId="006FA41C" w14:textId="77777777" w:rsidR="00B520DD" w:rsidRPr="00D47CD1" w:rsidRDefault="00B520DD" w:rsidP="00D47CD1">
      <w:pPr>
        <w:jc w:val="both"/>
      </w:pPr>
    </w:p>
    <w:p w14:paraId="1DF09BC8" w14:textId="77777777" w:rsidR="00D710C6" w:rsidRPr="00B520DD" w:rsidRDefault="00D710C6" w:rsidP="00D710C6">
      <w:pPr>
        <w:jc w:val="both"/>
      </w:pPr>
    </w:p>
    <w:sectPr w:rsidR="00D710C6" w:rsidRPr="00B520D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CB1"/>
    <w:rsid w:val="0009537E"/>
    <w:rsid w:val="00414004"/>
    <w:rsid w:val="004F235B"/>
    <w:rsid w:val="00782468"/>
    <w:rsid w:val="007A5B26"/>
    <w:rsid w:val="007F55B0"/>
    <w:rsid w:val="00841F0B"/>
    <w:rsid w:val="008F49A9"/>
    <w:rsid w:val="00964CB1"/>
    <w:rsid w:val="00B520DD"/>
    <w:rsid w:val="00D47CD1"/>
    <w:rsid w:val="00D710C6"/>
    <w:rsid w:val="00DF5958"/>
    <w:rsid w:val="00F127A4"/>
    <w:rsid w:val="00F72C6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31A7D"/>
  <w15:chartTrackingRefBased/>
  <w15:docId w15:val="{92C2996A-6DDD-417F-AEA6-4C492BC88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189039">
      <w:bodyDiv w:val="1"/>
      <w:marLeft w:val="0"/>
      <w:marRight w:val="0"/>
      <w:marTop w:val="0"/>
      <w:marBottom w:val="0"/>
      <w:divBdr>
        <w:top w:val="none" w:sz="0" w:space="0" w:color="auto"/>
        <w:left w:val="none" w:sz="0" w:space="0" w:color="auto"/>
        <w:bottom w:val="none" w:sz="0" w:space="0" w:color="auto"/>
        <w:right w:val="none" w:sz="0" w:space="0" w:color="auto"/>
      </w:divBdr>
    </w:div>
    <w:div w:id="2111311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3</Pages>
  <Words>1302</Words>
  <Characters>7422</Characters>
  <Application>Microsoft Office Word</Application>
  <DocSecurity>0</DocSecurity>
  <Lines>61</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9</cp:revision>
  <dcterms:created xsi:type="dcterms:W3CDTF">2023-06-12T18:07:00Z</dcterms:created>
  <dcterms:modified xsi:type="dcterms:W3CDTF">2023-06-12T22:55:00Z</dcterms:modified>
</cp:coreProperties>
</file>