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71FF8" w14:textId="0EAAF3B8" w:rsidR="00344386" w:rsidRPr="00344386" w:rsidRDefault="00DA2F3A" w:rsidP="00344386">
      <w:pPr>
        <w:jc w:val="both"/>
        <w:rPr>
          <w:b/>
          <w:bCs/>
        </w:rPr>
      </w:pPr>
      <w:r w:rsidRPr="00344386">
        <w:rPr>
          <w:b/>
          <w:bCs/>
        </w:rPr>
        <w:t>Titolo: l’arrotondamento</w:t>
      </w:r>
      <w:r w:rsidR="0042261D">
        <w:rPr>
          <w:b/>
          <w:bCs/>
        </w:rPr>
        <w:t xml:space="preserve"> </w:t>
      </w:r>
      <w:r w:rsidR="00344386" w:rsidRPr="00344386">
        <w:rPr>
          <w:b/>
          <w:bCs/>
        </w:rPr>
        <w:t>delle superfici imponibili CUP</w:t>
      </w:r>
    </w:p>
    <w:p w14:paraId="03EFB1EA" w14:textId="77777777" w:rsidR="00344386" w:rsidRDefault="00344386" w:rsidP="00344386">
      <w:pPr>
        <w:jc w:val="both"/>
        <w:rPr>
          <w:b/>
          <w:bCs/>
        </w:rPr>
      </w:pPr>
      <w:r w:rsidRPr="00344386">
        <w:rPr>
          <w:b/>
          <w:bCs/>
        </w:rPr>
        <w:t>Di Alessandro Merciari</w:t>
      </w:r>
    </w:p>
    <w:p w14:paraId="1BA8D91C" w14:textId="77777777" w:rsidR="00344386" w:rsidRPr="00344386" w:rsidRDefault="00344386" w:rsidP="00344386">
      <w:pPr>
        <w:jc w:val="both"/>
        <w:rPr>
          <w:b/>
          <w:bCs/>
        </w:rPr>
      </w:pPr>
    </w:p>
    <w:p w14:paraId="385C0BFF" w14:textId="77777777" w:rsidR="00344386" w:rsidRDefault="00344386" w:rsidP="00344386">
      <w:pPr>
        <w:jc w:val="both"/>
      </w:pPr>
      <w:r>
        <w:t>Nell’ambito della disciplina del Canone Unico Patrimoniale, introdotta dal Legislatore con la Legge 160 del 2019, non troviamo alcun cenno sui criteri di arrotondamento delle superfici delle occupazioni di suolo pubblico e dei mezzi pubblicitari attratti nel presupposto della nuova entrata.</w:t>
      </w:r>
    </w:p>
    <w:p w14:paraId="6F9A3911" w14:textId="331B78C0" w:rsidR="00344386" w:rsidRDefault="00344386" w:rsidP="00344386">
      <w:pPr>
        <w:jc w:val="both"/>
      </w:pPr>
      <w:r>
        <w:t>La norma ha previsto, ai commi 824 e 825, i criteri generali per la determinazione del canone, indicando genericamente, tra gli elementi necessari per il calcolo, la superficie espressa in metri quadrati, nulla specificando sul criterio di arrotondamento da adottare per le misure contenenti decimali.</w:t>
      </w:r>
    </w:p>
    <w:p w14:paraId="0A8C46B4" w14:textId="1AFE5159" w:rsidR="00344386" w:rsidRDefault="00344386" w:rsidP="00344386">
      <w:pPr>
        <w:jc w:val="both"/>
      </w:pPr>
      <w:r>
        <w:t xml:space="preserve">Eppure con i precedenti prelievi, i criteri di misurazione erano stati disciplinati nel Decreto Legislativo 507 del 1993, che specificava nel dettaglio i diversi calcoli da eseguire per arrotondare le superfici a seconda dell’entrata e della dimensione dell’oggetto tassato. </w:t>
      </w:r>
    </w:p>
    <w:p w14:paraId="42810EE1" w14:textId="101032CC" w:rsidR="00344386" w:rsidRDefault="00344386" w:rsidP="00DA2F3A">
      <w:pPr>
        <w:jc w:val="both"/>
      </w:pPr>
      <w:r>
        <w:t xml:space="preserve">Per il presupposto pubblicitario, l’articolo 7 </w:t>
      </w:r>
      <w:r w:rsidR="0042261D">
        <w:t xml:space="preserve">comma 1 e 2 </w:t>
      </w:r>
      <w:r>
        <w:t xml:space="preserve">del decreto prevedeva: </w:t>
      </w:r>
      <w:r>
        <w:rPr>
          <w:i/>
          <w:iCs/>
        </w:rPr>
        <w:t>“</w:t>
      </w:r>
      <w:r w:rsidR="00DA2F3A" w:rsidRPr="00DA2F3A">
        <w:rPr>
          <w:i/>
          <w:iCs/>
        </w:rPr>
        <w:t xml:space="preserve">1. L'imposta sulla </w:t>
      </w:r>
      <w:r w:rsidR="00CE7B77" w:rsidRPr="00DA2F3A">
        <w:rPr>
          <w:i/>
          <w:iCs/>
        </w:rPr>
        <w:t>pubblicità</w:t>
      </w:r>
      <w:r w:rsidR="00DA2F3A" w:rsidRPr="00DA2F3A">
        <w:rPr>
          <w:i/>
          <w:iCs/>
        </w:rPr>
        <w:t xml:space="preserve"> si determina in base alla superficie della</w:t>
      </w:r>
      <w:r w:rsidR="00DA2F3A">
        <w:rPr>
          <w:i/>
          <w:iCs/>
        </w:rPr>
        <w:t xml:space="preserve"> </w:t>
      </w:r>
      <w:r w:rsidR="00DA2F3A" w:rsidRPr="00DA2F3A">
        <w:rPr>
          <w:i/>
          <w:iCs/>
        </w:rPr>
        <w:t>minima figura piana geometrica in cui e' circoscritto il mezzo pubblicitario</w:t>
      </w:r>
      <w:r w:rsidR="00DA2F3A">
        <w:rPr>
          <w:i/>
          <w:iCs/>
        </w:rPr>
        <w:t xml:space="preserve"> </w:t>
      </w:r>
      <w:r w:rsidR="00DA2F3A" w:rsidRPr="00DA2F3A">
        <w:rPr>
          <w:i/>
          <w:iCs/>
        </w:rPr>
        <w:t>indipendentemente dal numero dei messaggi in esso contenuti.</w:t>
      </w:r>
      <w:r w:rsidR="00DA2F3A">
        <w:rPr>
          <w:i/>
          <w:iCs/>
        </w:rPr>
        <w:t xml:space="preserve"> </w:t>
      </w:r>
      <w:r w:rsidR="00DA2F3A" w:rsidRPr="00DA2F3A">
        <w:rPr>
          <w:i/>
          <w:iCs/>
        </w:rPr>
        <w:t>2. Le superfici inferiore ad un metro quadrato si arrotondano per eccesso</w:t>
      </w:r>
      <w:r w:rsidR="00DA2F3A">
        <w:rPr>
          <w:i/>
          <w:iCs/>
        </w:rPr>
        <w:t xml:space="preserve"> </w:t>
      </w:r>
      <w:r w:rsidR="00DA2F3A" w:rsidRPr="00DA2F3A">
        <w:rPr>
          <w:i/>
          <w:iCs/>
        </w:rPr>
        <w:t>al metro quadrato e le frazioni di esso, oltre il primo, a mezzo metro</w:t>
      </w:r>
      <w:r w:rsidR="00DA2F3A">
        <w:rPr>
          <w:i/>
          <w:iCs/>
        </w:rPr>
        <w:t xml:space="preserve"> </w:t>
      </w:r>
      <w:r w:rsidR="00DA2F3A" w:rsidRPr="00DA2F3A">
        <w:rPr>
          <w:i/>
          <w:iCs/>
        </w:rPr>
        <w:t>quadrato; non si fa luogo ad applicazione di imposta per superfici inferiori</w:t>
      </w:r>
      <w:r w:rsidR="00DA2F3A">
        <w:rPr>
          <w:i/>
          <w:iCs/>
        </w:rPr>
        <w:t xml:space="preserve"> </w:t>
      </w:r>
      <w:r w:rsidR="00DA2F3A" w:rsidRPr="00DA2F3A">
        <w:rPr>
          <w:i/>
          <w:iCs/>
        </w:rPr>
        <w:t>a trecento centimetri quadrati.</w:t>
      </w:r>
      <w:r>
        <w:t>”</w:t>
      </w:r>
      <w:r w:rsidR="0042261D">
        <w:t>.</w:t>
      </w:r>
    </w:p>
    <w:p w14:paraId="7A0B36AB" w14:textId="31138120" w:rsidR="00344386" w:rsidRDefault="00344386" w:rsidP="00344386">
      <w:pPr>
        <w:jc w:val="both"/>
      </w:pPr>
      <w:r>
        <w:t>Per le occupazioni di suolo pubblico l’articolo 42 comma 4 del decreto prevedeva “</w:t>
      </w:r>
      <w:r w:rsidRPr="00344386">
        <w:rPr>
          <w:i/>
          <w:iCs/>
        </w:rPr>
        <w:t>4. La tassa si determina in base all'effettiva occupazione espressa in metri quadrati o in metri lineari con arrotondamento all’unità superiore della cifra contenente decimali. Non si fa comunque luogo alla tassazione delle occupazioni che in relazione alla medesima area di riferimento siano complessivamente inferiori a mezzo metro quadrato o lineare.”</w:t>
      </w:r>
    </w:p>
    <w:p w14:paraId="6C249D03" w14:textId="23ACEB6D" w:rsidR="00344386" w:rsidRDefault="00344386" w:rsidP="00344386">
      <w:pPr>
        <w:jc w:val="both"/>
      </w:pPr>
      <w:r>
        <w:t xml:space="preserve">Questa base di calcolo, </w:t>
      </w:r>
      <w:r w:rsidR="00DA2F3A">
        <w:t xml:space="preserve">prevista dagli articoli 7 e 42 del D.Lgs 507/93, </w:t>
      </w:r>
      <w:r>
        <w:t xml:space="preserve">con l’introduzione del Canone Unico, è venuta meno, così che i diversi Enti locali chiamati ad istituire l’entrata, hanno dovuto adottare, all’interno dei propri regolamenti, i criteri ritenuti più consoni per determinare le metrature alle quali applicare le tariffe deliberate per le diverse fattispecie. </w:t>
      </w:r>
    </w:p>
    <w:p w14:paraId="53A85CAC" w14:textId="2B1E37D4" w:rsidR="00344386" w:rsidRDefault="00344386" w:rsidP="00344386">
      <w:pPr>
        <w:jc w:val="both"/>
      </w:pPr>
      <w:r>
        <w:t>Nella maggior parte dei casi</w:t>
      </w:r>
      <w:r w:rsidR="00CE7B77">
        <w:t>,</w:t>
      </w:r>
      <w:r>
        <w:t xml:space="preserve"> i Comuni</w:t>
      </w:r>
      <w:r w:rsidR="00C92760">
        <w:t>, in continuità con le gestioni delle entrate precedenti,</w:t>
      </w:r>
      <w:r>
        <w:t xml:space="preserve"> hanno copiato</w:t>
      </w:r>
      <w:r w:rsidR="00DA2F3A">
        <w:t xml:space="preserve"> nei propri </w:t>
      </w:r>
      <w:r w:rsidR="00CE7B77">
        <w:t>regolamenti esattamente</w:t>
      </w:r>
      <w:r>
        <w:t xml:space="preserve"> i criteri già usati in materia di Imposta sulla Pubblicità </w:t>
      </w:r>
      <w:r w:rsidR="00C92760">
        <w:t xml:space="preserve">e in materia di TOSAP </w:t>
      </w:r>
      <w:r>
        <w:t xml:space="preserve">sopra richiamati, mentre alcune amministrazioni locali si sono spinte </w:t>
      </w:r>
      <w:r w:rsidR="00DA2F3A">
        <w:t>con</w:t>
      </w:r>
      <w:r>
        <w:t xml:space="preserve"> iniziative personalizzate, forti della potestà regolamentare riconosciuta loro in materia di proprie entrate dall’articolo 52 del D.Lgs 446/97.</w:t>
      </w:r>
    </w:p>
    <w:p w14:paraId="7CF81191" w14:textId="614D4141" w:rsidR="00344386" w:rsidRDefault="00344386" w:rsidP="00344386">
      <w:pPr>
        <w:jc w:val="both"/>
      </w:pPr>
      <w:r>
        <w:t>È evidente quindi come questa carenza di disciplina a livello legislativo, abbia creato un panorama di situazioni variegate, diverse da comune a comune, creando evidenti problemi a tutti quei soggetti chiamati a operare in diversi ambiti territoriali. Una giungla di regolamenti che cambiano ad ogni confine locale</w:t>
      </w:r>
      <w:r w:rsidR="00C92760">
        <w:t>.</w:t>
      </w:r>
    </w:p>
    <w:p w14:paraId="7AEFA42C" w14:textId="77777777" w:rsidR="00DA2F3A" w:rsidRDefault="00C92760" w:rsidP="005018F7">
      <w:pPr>
        <w:jc w:val="both"/>
      </w:pPr>
      <w:r>
        <w:t>Interessante su tema leggere la sentenza della Corte di Giustizia Tributaria di Verona</w:t>
      </w:r>
      <w:r w:rsidR="005018F7">
        <w:t xml:space="preserve"> </w:t>
      </w:r>
      <w:r w:rsidR="005018F7" w:rsidRPr="005018F7">
        <w:t>Sez. I</w:t>
      </w:r>
      <w:r w:rsidR="005018F7">
        <w:t>,</w:t>
      </w:r>
      <w:r w:rsidR="005018F7" w:rsidRPr="005018F7">
        <w:t xml:space="preserve"> </w:t>
      </w:r>
      <w:r w:rsidR="005018F7">
        <w:t>n.</w:t>
      </w:r>
      <w:r w:rsidR="005018F7" w:rsidRPr="005018F7">
        <w:t xml:space="preserve"> 278 del 26/7/2023</w:t>
      </w:r>
      <w:r>
        <w:t xml:space="preserve"> che centra </w:t>
      </w:r>
      <w:r w:rsidR="005018F7">
        <w:t xml:space="preserve">esattamente </w:t>
      </w:r>
      <w:r>
        <w:t xml:space="preserve">la problematica. </w:t>
      </w:r>
    </w:p>
    <w:p w14:paraId="715F6303" w14:textId="55355AF7" w:rsidR="00060149" w:rsidRDefault="00C92760" w:rsidP="005018F7">
      <w:pPr>
        <w:jc w:val="both"/>
        <w:rPr>
          <w:i/>
          <w:iCs/>
        </w:rPr>
      </w:pPr>
      <w:r>
        <w:t>Soprassedendo sul possibile difetto di giurisdizione della Corte tributaria per il Canone Unico battezzato dal Legislatore quale entrata Patrimoniale, quindi con l’organo giudicante individuato nel Giudice di Pace o Tribunale a seconda dell’importo della controversia, vediamo cosa hanno scritto i giudici ver</w:t>
      </w:r>
      <w:r w:rsidR="005018F7">
        <w:t>o</w:t>
      </w:r>
      <w:r>
        <w:t>n</w:t>
      </w:r>
      <w:r w:rsidR="005018F7">
        <w:t>e</w:t>
      </w:r>
      <w:r>
        <w:t>si sulla tematica</w:t>
      </w:r>
      <w:r w:rsidR="005018F7">
        <w:t xml:space="preserve"> in argomento</w:t>
      </w:r>
      <w:r>
        <w:t xml:space="preserve">: </w:t>
      </w:r>
      <w:r w:rsidRPr="00C92760">
        <w:rPr>
          <w:i/>
          <w:iCs/>
        </w:rPr>
        <w:t>“</w:t>
      </w:r>
      <w:r w:rsidR="005018F7">
        <w:rPr>
          <w:i/>
          <w:iCs/>
        </w:rPr>
        <w:t>…</w:t>
      </w:r>
      <w:r w:rsidRPr="00C92760">
        <w:rPr>
          <w:i/>
          <w:iCs/>
        </w:rPr>
        <w:t>Come appare chiaro, il regolamento comunale è intervenuto proprio nei punti lasciati volutamente alla</w:t>
      </w:r>
      <w:r>
        <w:rPr>
          <w:i/>
          <w:iCs/>
        </w:rPr>
        <w:t xml:space="preserve"> </w:t>
      </w:r>
      <w:r w:rsidRPr="00C92760">
        <w:rPr>
          <w:i/>
          <w:iCs/>
        </w:rPr>
        <w:t>determinazione del regolamento dalla nuova legge che non riproduce alcuna disposizione ( come la</w:t>
      </w:r>
      <w:r w:rsidR="005018F7">
        <w:rPr>
          <w:i/>
          <w:iCs/>
        </w:rPr>
        <w:t xml:space="preserve"> </w:t>
      </w:r>
      <w:r w:rsidRPr="00C92760">
        <w:rPr>
          <w:i/>
          <w:iCs/>
        </w:rPr>
        <w:t>precedente) in tema di arrotondamenti o di messaggi polifacciali.</w:t>
      </w:r>
      <w:r w:rsidR="005018F7">
        <w:rPr>
          <w:i/>
          <w:iCs/>
        </w:rPr>
        <w:t xml:space="preserve"> </w:t>
      </w:r>
      <w:r w:rsidRPr="00C92760">
        <w:rPr>
          <w:i/>
          <w:iCs/>
        </w:rPr>
        <w:t xml:space="preserve">Ne consegue che il </w:t>
      </w:r>
      <w:r w:rsidRPr="00C92760">
        <w:rPr>
          <w:i/>
          <w:iCs/>
        </w:rPr>
        <w:lastRenderedPageBreak/>
        <w:t>punto nodale della nuova disciplina è rappresentato dal fatto che è sottoposto a</w:t>
      </w:r>
      <w:r w:rsidR="005018F7">
        <w:rPr>
          <w:i/>
          <w:iCs/>
        </w:rPr>
        <w:t xml:space="preserve"> </w:t>
      </w:r>
      <w:r w:rsidRPr="00C92760">
        <w:rPr>
          <w:i/>
          <w:iCs/>
        </w:rPr>
        <w:t xml:space="preserve">tassazione "il mezzo pubblicitario", che va identificato il supporto su cui è collocato il messaggio ( </w:t>
      </w:r>
      <w:r w:rsidR="005018F7" w:rsidRPr="00C92760">
        <w:rPr>
          <w:i/>
          <w:iCs/>
        </w:rPr>
        <w:t>purché</w:t>
      </w:r>
      <w:r w:rsidR="005018F7">
        <w:rPr>
          <w:i/>
          <w:iCs/>
        </w:rPr>
        <w:t xml:space="preserve"> </w:t>
      </w:r>
      <w:r w:rsidRPr="00C92760">
        <w:rPr>
          <w:i/>
          <w:iCs/>
        </w:rPr>
        <w:t>di superficie superiore a 300 cmq). Quindi è tassato il singolo messaggio pubblicitario ( come lo era in</w:t>
      </w:r>
      <w:r w:rsidR="005018F7">
        <w:rPr>
          <w:i/>
          <w:iCs/>
        </w:rPr>
        <w:t xml:space="preserve"> </w:t>
      </w:r>
      <w:r w:rsidRPr="00C92760">
        <w:rPr>
          <w:i/>
          <w:iCs/>
        </w:rPr>
        <w:t>precedenza) ma, in assenza di regole statali in tema di arrotondamenti, e segnali polifacciali, trovano</w:t>
      </w:r>
      <w:r w:rsidR="005018F7">
        <w:rPr>
          <w:i/>
          <w:iCs/>
        </w:rPr>
        <w:t xml:space="preserve"> </w:t>
      </w:r>
      <w:r w:rsidRPr="00C92760">
        <w:rPr>
          <w:i/>
          <w:iCs/>
        </w:rPr>
        <w:t>applicazione le norme emanate dai singoli regolamenti comunali.</w:t>
      </w:r>
      <w:r w:rsidR="005018F7">
        <w:rPr>
          <w:i/>
          <w:iCs/>
        </w:rPr>
        <w:t xml:space="preserve"> </w:t>
      </w:r>
      <w:r w:rsidRPr="00C92760">
        <w:rPr>
          <w:i/>
          <w:iCs/>
        </w:rPr>
        <w:t>Alla luce delle disposizioni che regolano la fattispecie quindi risulta corretto l'arrotondamento ad un metro</w:t>
      </w:r>
      <w:r w:rsidR="005018F7">
        <w:rPr>
          <w:i/>
          <w:iCs/>
        </w:rPr>
        <w:t xml:space="preserve"> </w:t>
      </w:r>
      <w:r w:rsidRPr="00C92760">
        <w:rPr>
          <w:i/>
          <w:iCs/>
        </w:rPr>
        <w:t>effettuato per ciascun mezzo pubblicitario di superficie inferiore al metro ed anche la tassabilità separata</w:t>
      </w:r>
      <w:r w:rsidR="005018F7">
        <w:rPr>
          <w:i/>
          <w:iCs/>
        </w:rPr>
        <w:t xml:space="preserve"> </w:t>
      </w:r>
      <w:r w:rsidRPr="00C92760">
        <w:rPr>
          <w:i/>
          <w:iCs/>
        </w:rPr>
        <w:t>dei singoli messaggi polifacciali ( non essendosi nemmeno discussa la legittimità del regolamento</w:t>
      </w:r>
      <w:r w:rsidR="005018F7">
        <w:rPr>
          <w:i/>
          <w:iCs/>
        </w:rPr>
        <w:t xml:space="preserve"> </w:t>
      </w:r>
      <w:r w:rsidR="005018F7" w:rsidRPr="005018F7">
        <w:rPr>
          <w:i/>
          <w:iCs/>
        </w:rPr>
        <w:t>emanato dal comune</w:t>
      </w:r>
      <w:r w:rsidR="005018F7">
        <w:rPr>
          <w:i/>
          <w:iCs/>
        </w:rPr>
        <w:t>…”</w:t>
      </w:r>
    </w:p>
    <w:p w14:paraId="7B8BF04D" w14:textId="2E23B687" w:rsidR="005018F7" w:rsidRPr="005018F7" w:rsidRDefault="005018F7" w:rsidP="005018F7">
      <w:pPr>
        <w:jc w:val="both"/>
      </w:pPr>
      <w:r>
        <w:t xml:space="preserve">È </w:t>
      </w:r>
      <w:r w:rsidR="00DA2F3A">
        <w:t xml:space="preserve">quindi </w:t>
      </w:r>
      <w:r>
        <w:t xml:space="preserve">importante il concetto espresso dalla CGT di Verona, </w:t>
      </w:r>
      <w:r w:rsidR="0042261D">
        <w:t xml:space="preserve">secondo la quale </w:t>
      </w:r>
      <w:r>
        <w:t xml:space="preserve">il criterio di arrotondamento, nella nuova disciplina, è stato volutamente lasciato </w:t>
      </w:r>
      <w:r w:rsidRPr="005018F7">
        <w:t>alla determinazione del regolamento</w:t>
      </w:r>
      <w:r>
        <w:t xml:space="preserve"> dell’Ente locale, </w:t>
      </w:r>
      <w:r w:rsidR="00CE7B77">
        <w:t>così che d</w:t>
      </w:r>
      <w:r>
        <w:t>ovrà essere accettato e utilizzato nella liquidazione del Canone Unico, salvo un</w:t>
      </w:r>
      <w:r w:rsidR="0042261D">
        <w:t xml:space="preserve">a eventuale </w:t>
      </w:r>
      <w:r>
        <w:t>impugnazione del regolamento stesso</w:t>
      </w:r>
      <w:r w:rsidR="0042261D">
        <w:t>, contestando un</w:t>
      </w:r>
      <w:r w:rsidR="00CE7B77">
        <w:t xml:space="preserve"> più che improbabile </w:t>
      </w:r>
      <w:r w:rsidR="0042261D">
        <w:t xml:space="preserve"> vizio di legittimità ad adottare il criterio di arrotondamento nella forma e nella misura indicata nella disciplina regolamentare</w:t>
      </w:r>
      <w:r>
        <w:t xml:space="preserve">.  </w:t>
      </w:r>
    </w:p>
    <w:sectPr w:rsidR="005018F7" w:rsidRPr="005018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36"/>
    <w:rsid w:val="00060149"/>
    <w:rsid w:val="00344386"/>
    <w:rsid w:val="0042261D"/>
    <w:rsid w:val="005018F7"/>
    <w:rsid w:val="00653B36"/>
    <w:rsid w:val="00C92760"/>
    <w:rsid w:val="00CE7B77"/>
    <w:rsid w:val="00DA2F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D3F6B"/>
  <w15:chartTrackingRefBased/>
  <w15:docId w15:val="{27D9A978-AE6F-4022-A33D-6C91DC33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44386"/>
    <w:pPr>
      <w:spacing w:line="256" w:lineRule="auto"/>
    </w:pPr>
    <w:rPr>
      <w:kern w:val="0"/>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79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Pages>
  <Words>774</Words>
  <Characters>4417</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3</cp:revision>
  <dcterms:created xsi:type="dcterms:W3CDTF">2024-02-14T09:19:00Z</dcterms:created>
  <dcterms:modified xsi:type="dcterms:W3CDTF">2024-02-18T15:21:00Z</dcterms:modified>
</cp:coreProperties>
</file>