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2726" w14:textId="0BD744FE" w:rsidR="00E25DE7" w:rsidRDefault="00E25DE7" w:rsidP="00E25DE7">
      <w:r>
        <w:t>Titolo:</w:t>
      </w:r>
      <w:r w:rsidR="00C4230D">
        <w:t xml:space="preserve"> </w:t>
      </w:r>
      <w:r w:rsidR="00C4230D" w:rsidRPr="00C4230D">
        <w:t xml:space="preserve">canoni relativi a prestazioni di servizi. </w:t>
      </w:r>
      <w:r w:rsidR="00BB61B3">
        <w:t>Il caso del C</w:t>
      </w:r>
      <w:r w:rsidR="00C4230D" w:rsidRPr="00C4230D">
        <w:t xml:space="preserve">anone di </w:t>
      </w:r>
      <w:r w:rsidR="00BB61B3">
        <w:t>P</w:t>
      </w:r>
      <w:r w:rsidR="00C4230D" w:rsidRPr="00C4230D">
        <w:t>olizia idraulica</w:t>
      </w:r>
    </w:p>
    <w:p w14:paraId="5E499061" w14:textId="2F199368" w:rsidR="00E25DE7" w:rsidRPr="00C4230D" w:rsidRDefault="00E25DE7" w:rsidP="00E25DE7">
      <w:pPr>
        <w:rPr>
          <w:i/>
          <w:iCs/>
        </w:rPr>
      </w:pPr>
      <w:r w:rsidRPr="00C4230D">
        <w:rPr>
          <w:i/>
          <w:iCs/>
        </w:rPr>
        <w:t>di Alessandro Merciari</w:t>
      </w:r>
    </w:p>
    <w:p w14:paraId="0FA2C3B6" w14:textId="77777777" w:rsidR="00E25DE7" w:rsidRDefault="00E25DE7" w:rsidP="00E25DE7"/>
    <w:p w14:paraId="1ABB7966" w14:textId="23E5A7A6" w:rsidR="00E25DE7" w:rsidRDefault="00C4230D" w:rsidP="00E25DE7">
      <w:pPr>
        <w:jc w:val="both"/>
      </w:pPr>
      <w:r>
        <w:t>Nell’ambito della disciplina CUP, nel comma dedicato all</w:t>
      </w:r>
      <w:r w:rsidR="00BB61B3">
        <w:t>a sua is</w:t>
      </w:r>
      <w:r>
        <w:t xml:space="preserve">tituzione dell’entrata prevista per le occupazioni di suolo pubblico e per le diffusioni pubblicitarie, viene precisato </w:t>
      </w:r>
      <w:r w:rsidR="00981EDF">
        <w:t>come</w:t>
      </w:r>
      <w:r>
        <w:t xml:space="preserve"> </w:t>
      </w:r>
      <w:r w:rsidR="00860441">
        <w:t xml:space="preserve">la nuova entrata </w:t>
      </w:r>
      <w:r>
        <w:t>ricomprend</w:t>
      </w:r>
      <w:r w:rsidR="00981EDF">
        <w:t>a</w:t>
      </w:r>
      <w:r>
        <w:t xml:space="preserve"> q</w:t>
      </w:r>
      <w:r w:rsidR="00E25DE7">
        <w:t xml:space="preserve">ualunque canone ricognitorio o concessorio previsto da norme di legge e dai regolamenti comunali e </w:t>
      </w:r>
      <w:r>
        <w:t>provinciali, fatti</w:t>
      </w:r>
      <w:r w:rsidR="00E25DE7">
        <w:t xml:space="preserve"> salvi quelli connessi a prestazioni di servizi.</w:t>
      </w:r>
    </w:p>
    <w:p w14:paraId="18A0EE04" w14:textId="24353C49" w:rsidR="00981EDF" w:rsidRDefault="00E25DE7" w:rsidP="00E25DE7">
      <w:pPr>
        <w:jc w:val="both"/>
      </w:pPr>
      <w:r>
        <w:t>Diventa fondamentale quindi inquadrare la natura de</w:t>
      </w:r>
      <w:r w:rsidR="00981EDF">
        <w:t xml:space="preserve">i diversi canoni applicati </w:t>
      </w:r>
      <w:r w:rsidR="00860441">
        <w:t xml:space="preserve">dagli enti locali </w:t>
      </w:r>
      <w:r w:rsidR="00981EDF">
        <w:t xml:space="preserve">e verificare se possono </w:t>
      </w:r>
      <w:r w:rsidR="00271E5C">
        <w:t>ritenersi</w:t>
      </w:r>
      <w:r w:rsidR="00981EDF">
        <w:t xml:space="preserve"> connessi a particolari prestazioni di servizi</w:t>
      </w:r>
      <w:r w:rsidR="00D36DCE">
        <w:t xml:space="preserve"> o se invece destinati ad essere assorbiti nel Canone Unico Patrimoniale</w:t>
      </w:r>
      <w:r w:rsidR="00981EDF">
        <w:t>.</w:t>
      </w:r>
    </w:p>
    <w:p w14:paraId="7FD6D1AE" w14:textId="74249A88" w:rsidR="00981EDF" w:rsidRDefault="00981EDF" w:rsidP="00E25DE7">
      <w:pPr>
        <w:jc w:val="both"/>
      </w:pPr>
      <w:r>
        <w:t>Uno dei canoni per i quali non è previsto l’assorbimento nel CUP è rappresentato dal</w:t>
      </w:r>
      <w:r w:rsidR="00E25DE7">
        <w:t xml:space="preserve"> </w:t>
      </w:r>
      <w:r w:rsidR="00E25DE7" w:rsidRPr="009E0DEA">
        <w:rPr>
          <w:i/>
          <w:iCs/>
        </w:rPr>
        <w:t xml:space="preserve">Canone di </w:t>
      </w:r>
      <w:r w:rsidR="00860441">
        <w:rPr>
          <w:i/>
          <w:iCs/>
        </w:rPr>
        <w:t>P</w:t>
      </w:r>
      <w:r w:rsidR="00E25DE7" w:rsidRPr="009E0DEA">
        <w:rPr>
          <w:i/>
          <w:iCs/>
        </w:rPr>
        <w:t>olizia idraulica</w:t>
      </w:r>
      <w:r w:rsidR="00E25DE7">
        <w:t xml:space="preserve">, che </w:t>
      </w:r>
      <w:r w:rsidR="00D36DCE">
        <w:t>dovrà continuare</w:t>
      </w:r>
      <w:r w:rsidR="00E25DE7">
        <w:t xml:space="preserve"> ad essere applicato</w:t>
      </w:r>
      <w:r>
        <w:t xml:space="preserve"> anche quando </w:t>
      </w:r>
      <w:r w:rsidR="00D36DCE">
        <w:t xml:space="preserve">dovuto </w:t>
      </w:r>
      <w:r>
        <w:t>in riferimento ad occupazioni realizzat</w:t>
      </w:r>
      <w:r w:rsidR="00D36DCE">
        <w:t>e</w:t>
      </w:r>
      <w:r>
        <w:t xml:space="preserve"> nell’ambito del reticolo idraulico gestito dall’Ente Territoriale </w:t>
      </w:r>
      <w:r w:rsidR="009E0DEA">
        <w:t>competente, Regione</w:t>
      </w:r>
      <w:r>
        <w:t xml:space="preserve"> o Comune.</w:t>
      </w:r>
    </w:p>
    <w:p w14:paraId="252D1101" w14:textId="49B64D6C" w:rsidR="00E25DE7" w:rsidRDefault="009E0DEA" w:rsidP="00E25DE7">
      <w:pPr>
        <w:jc w:val="both"/>
      </w:pPr>
      <w:r>
        <w:t>Sostanzialmente q</w:t>
      </w:r>
      <w:r w:rsidR="00981EDF">
        <w:t xml:space="preserve">uesto speciale canone rimane </w:t>
      </w:r>
      <w:r>
        <w:t>estraneo al CUP in</w:t>
      </w:r>
      <w:r w:rsidR="00E25DE7">
        <w:t xml:space="preserve"> quanto deriva da un’attività di gestione e manutenzione del reticolo idrico posta in essere dalla </w:t>
      </w:r>
      <w:r>
        <w:t>R</w:t>
      </w:r>
      <w:r w:rsidR="00E25DE7">
        <w:t>egione e dai Comune</w:t>
      </w:r>
      <w:r>
        <w:t xml:space="preserve"> che porta a</w:t>
      </w:r>
      <w:r w:rsidR="00860441">
        <w:t xml:space="preserve"> considerarlo applicabile </w:t>
      </w:r>
      <w:r>
        <w:t>anche in quelle situazioni dove si registrano delle occupazioni</w:t>
      </w:r>
      <w:r w:rsidR="00AA1DA6">
        <w:t xml:space="preserve"> di suolo </w:t>
      </w:r>
      <w:r w:rsidR="00860441">
        <w:t xml:space="preserve">già </w:t>
      </w:r>
      <w:r w:rsidR="00AA1DA6">
        <w:t>soggette a C</w:t>
      </w:r>
      <w:r w:rsidR="00860441">
        <w:t>anone Unico</w:t>
      </w:r>
      <w:r w:rsidR="00E25DE7">
        <w:t>.</w:t>
      </w:r>
    </w:p>
    <w:p w14:paraId="4CF209C3" w14:textId="3133DA00" w:rsidR="00E25DE7" w:rsidRDefault="00E25DE7" w:rsidP="00E25DE7">
      <w:pPr>
        <w:jc w:val="both"/>
      </w:pPr>
      <w:r>
        <w:t xml:space="preserve">L'art. 89 del D.Lgs. 31 marzo 1998, n. 112, </w:t>
      </w:r>
      <w:r w:rsidR="00AA1DA6">
        <w:t>aveva</w:t>
      </w:r>
      <w:r>
        <w:t xml:space="preserve"> trasferito alle Regioni la gestione del demanio idrico, in attuazione del processo di decentramento amministrativo di cui alla legge 15 marzo 1997, n. 59, confermando comunque allo Stato la titolarità del</w:t>
      </w:r>
      <w:r w:rsidR="00860441">
        <w:t>lo stesso</w:t>
      </w:r>
      <w:r>
        <w:t xml:space="preserve">. </w:t>
      </w:r>
    </w:p>
    <w:p w14:paraId="7C6D52BB" w14:textId="2D3F11E9" w:rsidR="00E25DE7" w:rsidRDefault="00E25DE7" w:rsidP="00E25DE7">
      <w:pPr>
        <w:jc w:val="both"/>
      </w:pPr>
      <w:r>
        <w:t>In particolare, sono stati trasferiti a Regioni ed Enti Locali le funzioni relative ai compiti di polizia idraulica e di pronto intervento.</w:t>
      </w:r>
    </w:p>
    <w:p w14:paraId="090BC86C" w14:textId="07BD213A" w:rsidR="00E25DE7" w:rsidRDefault="00860441" w:rsidP="00E25DE7">
      <w:pPr>
        <w:jc w:val="both"/>
      </w:pPr>
      <w:r>
        <w:t>Le r</w:t>
      </w:r>
      <w:r w:rsidR="00E25DE7">
        <w:t>egion</w:t>
      </w:r>
      <w:r>
        <w:t>i</w:t>
      </w:r>
      <w:r w:rsidR="00E25DE7">
        <w:t xml:space="preserve">, in applicazione dell’art. 3 del D.Lgs 112/1998, </w:t>
      </w:r>
      <w:r>
        <w:t>di regola stabiliscono,</w:t>
      </w:r>
      <w:r w:rsidR="00E25DE7">
        <w:t xml:space="preserve"> previa identificazione dei reticoli, di esercitare le competenze in materia di polizia idraulica sul Reticolo Idrico Principale, delegando ai comuni la competenza sul Reticolo Idrico Minore.</w:t>
      </w:r>
    </w:p>
    <w:p w14:paraId="24148DB6" w14:textId="32B687F4" w:rsidR="00E25DE7" w:rsidRDefault="008C794C" w:rsidP="00E25DE7">
      <w:pPr>
        <w:jc w:val="both"/>
      </w:pPr>
      <w:r>
        <w:t>Gli</w:t>
      </w:r>
      <w:r w:rsidR="00E25DE7">
        <w:t xml:space="preserve"> importi di canone che dovranno essere applicati dal Comune a fronte della manutenzione ordinaria e straordinaria del reticolo idrico di competenza (pulizia, arginature, ecc.)</w:t>
      </w:r>
      <w:r>
        <w:t xml:space="preserve"> </w:t>
      </w:r>
      <w:r w:rsidR="00E25DE7">
        <w:t>non potranno essere usati per altre finalità.</w:t>
      </w:r>
    </w:p>
    <w:p w14:paraId="438D349E" w14:textId="1AD54421" w:rsidR="00E25DE7" w:rsidRDefault="008C794C" w:rsidP="00E25DE7">
      <w:pPr>
        <w:jc w:val="both"/>
      </w:pPr>
      <w:r>
        <w:t>In questo senso, e s</w:t>
      </w:r>
      <w:r w:rsidR="00E25DE7">
        <w:t xml:space="preserve">ulla base di queste considerazioni, emerge come </w:t>
      </w:r>
      <w:r>
        <w:t>l’eventuale</w:t>
      </w:r>
      <w:r w:rsidR="00E25DE7">
        <w:t xml:space="preserve"> versamento </w:t>
      </w:r>
      <w:r>
        <w:t xml:space="preserve">effettuato </w:t>
      </w:r>
      <w:r w:rsidR="00E25DE7">
        <w:t>a titolo di CUP dalla società</w:t>
      </w:r>
      <w:r>
        <w:t xml:space="preserve"> o dal contribuente</w:t>
      </w:r>
      <w:r w:rsidR="00E25DE7">
        <w:t xml:space="preserve"> che </w:t>
      </w:r>
      <w:r>
        <w:t xml:space="preserve">occupa il suolo, o il sotto/sopra suolo pubblico inserito nell’ambito del reticolo idrico, </w:t>
      </w:r>
      <w:r w:rsidR="00E25DE7">
        <w:t>non l</w:t>
      </w:r>
      <w:r>
        <w:t>o</w:t>
      </w:r>
      <w:r w:rsidR="00E25DE7">
        <w:t xml:space="preserve"> esclude dall’obbligo di versamento </w:t>
      </w:r>
      <w:r>
        <w:t xml:space="preserve">anche </w:t>
      </w:r>
      <w:r w:rsidR="00E25DE7">
        <w:t>del Canone di polizia idraulica</w:t>
      </w:r>
      <w:r>
        <w:t>, avente natura diversa dal CUP e i cui importi servono a garantire le prestazioni di manutenzione da parte dell’ente locale.</w:t>
      </w:r>
    </w:p>
    <w:p w14:paraId="1B285F67" w14:textId="77777777" w:rsidR="00E25DE7" w:rsidRDefault="00E25DE7" w:rsidP="00E25DE7"/>
    <w:p w14:paraId="76E0A943" w14:textId="77777777" w:rsidR="00E25DE7" w:rsidRDefault="00E25DE7" w:rsidP="00E25DE7"/>
    <w:p w14:paraId="23CA6E0C" w14:textId="77777777" w:rsidR="00E25DE7" w:rsidRDefault="00E25DE7" w:rsidP="00E25DE7"/>
    <w:p w14:paraId="690D05FC" w14:textId="77777777" w:rsidR="00060149" w:rsidRDefault="00060149"/>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0E"/>
    <w:rsid w:val="00060149"/>
    <w:rsid w:val="00271E5C"/>
    <w:rsid w:val="007B1496"/>
    <w:rsid w:val="00821FAD"/>
    <w:rsid w:val="00860441"/>
    <w:rsid w:val="008C794C"/>
    <w:rsid w:val="00981EDF"/>
    <w:rsid w:val="009D0EF7"/>
    <w:rsid w:val="009E0DEA"/>
    <w:rsid w:val="00AA1DA6"/>
    <w:rsid w:val="00AB550E"/>
    <w:rsid w:val="00BB61B3"/>
    <w:rsid w:val="00C4230D"/>
    <w:rsid w:val="00D20AF7"/>
    <w:rsid w:val="00D36DCE"/>
    <w:rsid w:val="00E25DE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7BD5"/>
  <w15:chartTrackingRefBased/>
  <w15:docId w15:val="{D7CE47B8-75E0-4F65-8255-F97E63C3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B55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B55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B550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B550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B550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B550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B550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B550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B550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B550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B550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B550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B550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B550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B550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B550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B550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B550E"/>
    <w:rPr>
      <w:rFonts w:eastAsiaTheme="majorEastAsia" w:cstheme="majorBidi"/>
      <w:color w:val="272727" w:themeColor="text1" w:themeTint="D8"/>
    </w:rPr>
  </w:style>
  <w:style w:type="paragraph" w:styleId="Titolo">
    <w:name w:val="Title"/>
    <w:basedOn w:val="Normale"/>
    <w:next w:val="Normale"/>
    <w:link w:val="TitoloCarattere"/>
    <w:uiPriority w:val="10"/>
    <w:qFormat/>
    <w:rsid w:val="00AB5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B550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B550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B550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B550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B550E"/>
    <w:rPr>
      <w:i/>
      <w:iCs/>
      <w:color w:val="404040" w:themeColor="text1" w:themeTint="BF"/>
    </w:rPr>
  </w:style>
  <w:style w:type="paragraph" w:styleId="Paragrafoelenco">
    <w:name w:val="List Paragraph"/>
    <w:basedOn w:val="Normale"/>
    <w:uiPriority w:val="34"/>
    <w:qFormat/>
    <w:rsid w:val="00AB550E"/>
    <w:pPr>
      <w:ind w:left="720"/>
      <w:contextualSpacing/>
    </w:pPr>
  </w:style>
  <w:style w:type="character" w:styleId="Enfasiintensa">
    <w:name w:val="Intense Emphasis"/>
    <w:basedOn w:val="Carpredefinitoparagrafo"/>
    <w:uiPriority w:val="21"/>
    <w:qFormat/>
    <w:rsid w:val="00AB550E"/>
    <w:rPr>
      <w:i/>
      <w:iCs/>
      <w:color w:val="2F5496" w:themeColor="accent1" w:themeShade="BF"/>
    </w:rPr>
  </w:style>
  <w:style w:type="paragraph" w:styleId="Citazioneintensa">
    <w:name w:val="Intense Quote"/>
    <w:basedOn w:val="Normale"/>
    <w:next w:val="Normale"/>
    <w:link w:val="CitazioneintensaCarattere"/>
    <w:uiPriority w:val="30"/>
    <w:qFormat/>
    <w:rsid w:val="00AB55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B550E"/>
    <w:rPr>
      <w:i/>
      <w:iCs/>
      <w:color w:val="2F5496" w:themeColor="accent1" w:themeShade="BF"/>
    </w:rPr>
  </w:style>
  <w:style w:type="character" w:styleId="Riferimentointenso">
    <w:name w:val="Intense Reference"/>
    <w:basedOn w:val="Carpredefinitoparagrafo"/>
    <w:uiPriority w:val="32"/>
    <w:qFormat/>
    <w:rsid w:val="00AB55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1409</TotalTime>
  <Pages>1</Pages>
  <Words>409</Words>
  <Characters>2335</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2025-06-12T07:14:00Z</dcterms:created>
  <dcterms:modified xsi:type="dcterms:W3CDTF">2025-06-13T11:27:00Z</dcterms:modified>
</cp:coreProperties>
</file>