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CE099" w14:textId="06A5FCF5" w:rsidR="006672EA" w:rsidRDefault="004720E2">
      <w:r>
        <w:t xml:space="preserve">Titolo: </w:t>
      </w:r>
      <w:r w:rsidRPr="004720E2">
        <w:t xml:space="preserve">chi deve versare il canone </w:t>
      </w:r>
      <w:r w:rsidR="00E32626">
        <w:t xml:space="preserve">per l’installazione di </w:t>
      </w:r>
      <w:r w:rsidRPr="004720E2">
        <w:t>antenne</w:t>
      </w:r>
      <w:r w:rsidR="00E32626">
        <w:t xml:space="preserve"> e ripetitori</w:t>
      </w:r>
    </w:p>
    <w:p w14:paraId="7AA764B4" w14:textId="4701D881" w:rsidR="004720E2" w:rsidRDefault="004720E2">
      <w:r>
        <w:t>Di Alessandro Merciari</w:t>
      </w:r>
    </w:p>
    <w:p w14:paraId="0406DD01" w14:textId="77777777" w:rsidR="004720E2" w:rsidRDefault="004720E2"/>
    <w:p w14:paraId="72C0191D" w14:textId="504A35C5" w:rsidR="004720E2" w:rsidRDefault="007C6D45" w:rsidP="007C6D45">
      <w:pPr>
        <w:jc w:val="both"/>
      </w:pPr>
      <w:r>
        <w:t xml:space="preserve">Nell’ambito della gestione del Canone Unico, uno dei temi </w:t>
      </w:r>
      <w:r w:rsidR="00E32626">
        <w:t xml:space="preserve">meno chiari </w:t>
      </w:r>
      <w:r>
        <w:t>che presenta</w:t>
      </w:r>
      <w:r w:rsidR="00E32626">
        <w:t>,</w:t>
      </w:r>
      <w:r>
        <w:t xml:space="preserve"> </w:t>
      </w:r>
      <w:r w:rsidR="00E32626">
        <w:t>fin dalla sua introduzione, difficoltà</w:t>
      </w:r>
      <w:r>
        <w:t xml:space="preserve"> operative, </w:t>
      </w:r>
      <w:r w:rsidR="004720E2">
        <w:t>riguarda la corretta applicazione del canone previsto per l</w:t>
      </w:r>
      <w:r>
        <w:t xml:space="preserve">’installazione su suolo pubblico di </w:t>
      </w:r>
      <w:r w:rsidR="004720E2">
        <w:t xml:space="preserve"> antenne e ripetitori</w:t>
      </w:r>
      <w:r>
        <w:t>, introdott</w:t>
      </w:r>
      <w:r w:rsidR="00E32626">
        <w:t>o</w:t>
      </w:r>
      <w:r w:rsidR="00B43755">
        <w:t xml:space="preserve"> nel luglio 2021</w:t>
      </w:r>
      <w:r>
        <w:t xml:space="preserve"> dal Legislatore con il co</w:t>
      </w:r>
      <w:r w:rsidR="004720E2">
        <w:t>mma 831-bis della Legge 160/2019.</w:t>
      </w:r>
    </w:p>
    <w:p w14:paraId="67B7BC82" w14:textId="6FCDE734" w:rsidR="004720E2" w:rsidRDefault="004720E2">
      <w:r>
        <w:t xml:space="preserve">Il comma </w:t>
      </w:r>
      <w:r w:rsidR="007C6D45">
        <w:t xml:space="preserve">testualmente </w:t>
      </w:r>
      <w:r>
        <w:t>prevede:</w:t>
      </w:r>
    </w:p>
    <w:p w14:paraId="751C94A0" w14:textId="290C018A" w:rsidR="004720E2" w:rsidRPr="004720E2" w:rsidRDefault="004720E2" w:rsidP="007C6D45">
      <w:pPr>
        <w:jc w:val="both"/>
      </w:pPr>
      <w:r w:rsidRPr="004720E2">
        <w:rPr>
          <w:i/>
          <w:iCs/>
        </w:rPr>
        <w:t xml:space="preserve">“831-bis. Gli operatori che forniscono i servizi di pubblica utilità di reti e infrastrutture di comunicazione elettronica di cui al codice delle comunicazioni elettroniche, di cui al decreto legislativo 1° agosto 2003, n. 259, e che non rientrano nella previsione di cui al comma 831 sono soggetti a un canone pari a 800 euro per ogni impianto insistente sul territorio di ciascun ente. Il canone non è modificabile ai sensi del comma 817 e ad esso non è applicabile alcun altro tipo di onere finanziario, reale o contributo, comunque denominato, di qualsiasi natura e per qualsiasi ragione o a qualsiasi titolo richiesto, ai sensi dell’articolo 93 del decreto legislativo n. 259 del 2003. I relativi importi sono rivalutati annualmente in base all’indice ISTAT dei prezzi al consumo rilevati al 31 dicembre dell’anno precedente. Il versamento del canone è effettuato entro il 30 aprile di ciascun anno in unica soluzione attraverso la piattaforma di cui all’articolo 5 del codice di cui al decreto legislativo 7 marzo 2005, n. 82” </w:t>
      </w:r>
    </w:p>
    <w:p w14:paraId="210C7AFA" w14:textId="1DB1F84F" w:rsidR="004720E2" w:rsidRDefault="00E32626">
      <w:r>
        <w:t>Ma q</w:t>
      </w:r>
      <w:r w:rsidR="007C6D45">
        <w:t xml:space="preserve">uali </w:t>
      </w:r>
      <w:r>
        <w:t xml:space="preserve">sono i </w:t>
      </w:r>
      <w:r w:rsidR="007C6D45">
        <w:t>soggetti</w:t>
      </w:r>
      <w:r>
        <w:t xml:space="preserve"> che</w:t>
      </w:r>
      <w:r w:rsidR="007C6D45">
        <w:t xml:space="preserve"> rientrano nel presupposto applicativo</w:t>
      </w:r>
      <w:r>
        <w:t xml:space="preserve"> e che dovranno versare il canone in base alla tariffa forfettaria decisa dal Legislatore</w:t>
      </w:r>
      <w:r w:rsidR="007C6D45">
        <w:t>?</w:t>
      </w:r>
    </w:p>
    <w:p w14:paraId="4E6D016B" w14:textId="0364C2B5" w:rsidR="007C6D45" w:rsidRPr="007C6D45" w:rsidRDefault="007C6D45" w:rsidP="007C6D45">
      <w:pPr>
        <w:jc w:val="both"/>
      </w:pPr>
      <w:r>
        <w:t xml:space="preserve">Dalla lettura della norma: </w:t>
      </w:r>
      <w:r w:rsidRPr="007C6D45">
        <w:t>“</w:t>
      </w:r>
      <w:r w:rsidRPr="007C6D45">
        <w:rPr>
          <w:i/>
          <w:iCs/>
        </w:rPr>
        <w:t>gli operatori che forniscono i servizi di pubblica utilità di reti</w:t>
      </w:r>
      <w:r>
        <w:rPr>
          <w:i/>
          <w:iCs/>
        </w:rPr>
        <w:t xml:space="preserve"> </w:t>
      </w:r>
      <w:r w:rsidRPr="007C6D45">
        <w:rPr>
          <w:i/>
          <w:iCs/>
        </w:rPr>
        <w:t>e infrastrutture di comunicazione elettronica di cui al Codice delle comunicazioni elettroniche, di cui</w:t>
      </w:r>
      <w:r>
        <w:rPr>
          <w:i/>
          <w:iCs/>
        </w:rPr>
        <w:t xml:space="preserve"> </w:t>
      </w:r>
      <w:r w:rsidRPr="007C6D45">
        <w:rPr>
          <w:i/>
          <w:iCs/>
        </w:rPr>
        <w:t>al d.lgs. n. 259 del 2003 …”</w:t>
      </w:r>
      <w:r w:rsidRPr="007C6D45">
        <w:t xml:space="preserve">, cui fa riferimento il comma 831 </w:t>
      </w:r>
      <w:r w:rsidRPr="007C6D45">
        <w:rPr>
          <w:i/>
          <w:iCs/>
        </w:rPr>
        <w:t>bis</w:t>
      </w:r>
      <w:r w:rsidRPr="007C6D45">
        <w:t xml:space="preserve">, </w:t>
      </w:r>
      <w:r>
        <w:t xml:space="preserve">possiamo </w:t>
      </w:r>
      <w:r w:rsidR="00E32626">
        <w:t xml:space="preserve">rispondere </w:t>
      </w:r>
      <w:r>
        <w:t xml:space="preserve"> che </w:t>
      </w:r>
      <w:r w:rsidRPr="007C6D45">
        <w:t>sono sia gli operatori che prestano</w:t>
      </w:r>
      <w:r>
        <w:t xml:space="preserve"> </w:t>
      </w:r>
      <w:r w:rsidRPr="007C6D45">
        <w:t>il servizio di comunicazione elettronica, sia gli operatori che realizzano e collocano le opere su cui</w:t>
      </w:r>
      <w:r>
        <w:t xml:space="preserve"> </w:t>
      </w:r>
      <w:r w:rsidRPr="007C6D45">
        <w:t>sono montati gli impianti attraverso i quali si prestano i servizi di comunicazione.</w:t>
      </w:r>
    </w:p>
    <w:p w14:paraId="22E7A7AF" w14:textId="78A38C60" w:rsidR="007C6D45" w:rsidRPr="007C6D45" w:rsidRDefault="007C6D45" w:rsidP="007C6D45">
      <w:pPr>
        <w:jc w:val="both"/>
      </w:pPr>
      <w:r w:rsidRPr="007C6D45">
        <w:t>Ciò perché, da un lato, il d.lgs. n. 259 del 2003, art. 2, lett. ll), intende per “</w:t>
      </w:r>
      <w:r w:rsidRPr="007C6D45">
        <w:rPr>
          <w:i/>
          <w:iCs/>
        </w:rPr>
        <w:t xml:space="preserve">operatori” </w:t>
      </w:r>
      <w:r w:rsidRPr="007C6D45">
        <w:t>tanto l'impresa</w:t>
      </w:r>
      <w:r>
        <w:t xml:space="preserve"> </w:t>
      </w:r>
      <w:r w:rsidRPr="007C6D45">
        <w:t>che fornisce o è autorizzata a fornire una rete pubblica di comunicazione elettronica, quanto l'impresa</w:t>
      </w:r>
      <w:r>
        <w:t xml:space="preserve"> </w:t>
      </w:r>
      <w:r w:rsidRPr="007C6D45">
        <w:t>che fornisce o è autorizzata a fornire una risorsa correlata. D’altro canto, per il medesimo art. 2, lett.</w:t>
      </w:r>
      <w:r>
        <w:t xml:space="preserve"> </w:t>
      </w:r>
      <w:r w:rsidRPr="007C6D45">
        <w:t xml:space="preserve">tt), la rete pubblica di comunicazione elettronica, consiste ne“… </w:t>
      </w:r>
      <w:r w:rsidRPr="007C6D45">
        <w:rPr>
          <w:i/>
          <w:iCs/>
        </w:rPr>
        <w:t>i sistemi di trasmissione …”</w:t>
      </w:r>
      <w:r w:rsidRPr="007C6D45">
        <w:t>, mentre</w:t>
      </w:r>
      <w:r>
        <w:t xml:space="preserve"> </w:t>
      </w:r>
      <w:r w:rsidRPr="007C6D45">
        <w:t xml:space="preserve">le risorse correlate, per la lett. zz), sono “ … </w:t>
      </w:r>
      <w:r w:rsidRPr="007C6D45">
        <w:rPr>
          <w:i/>
          <w:iCs/>
        </w:rPr>
        <w:t>i servizi correlati, infrastrutture fisiche e altre risorse o</w:t>
      </w:r>
      <w:r>
        <w:rPr>
          <w:i/>
          <w:iCs/>
        </w:rPr>
        <w:t xml:space="preserve"> </w:t>
      </w:r>
      <w:r w:rsidRPr="007C6D45">
        <w:rPr>
          <w:i/>
          <w:iCs/>
        </w:rPr>
        <w:t>elementi correlati a una rete di comunicazione elettronica o a un servizio di comunicazione</w:t>
      </w:r>
      <w:r>
        <w:rPr>
          <w:i/>
          <w:iCs/>
        </w:rPr>
        <w:t xml:space="preserve"> </w:t>
      </w:r>
      <w:r w:rsidRPr="007C6D45">
        <w:rPr>
          <w:i/>
          <w:iCs/>
        </w:rPr>
        <w:t>elettronica che permettono o supportano la fornitura di servizi”</w:t>
      </w:r>
      <w:r w:rsidRPr="007C6D45">
        <w:t xml:space="preserve">, fra cui “… </w:t>
      </w:r>
      <w:r w:rsidRPr="007C6D45">
        <w:rPr>
          <w:i/>
          <w:iCs/>
        </w:rPr>
        <w:t>gli edifici o gli accessi</w:t>
      </w:r>
      <w:r>
        <w:rPr>
          <w:i/>
          <w:iCs/>
        </w:rPr>
        <w:t xml:space="preserve"> </w:t>
      </w:r>
      <w:r w:rsidRPr="007C6D45">
        <w:rPr>
          <w:i/>
          <w:iCs/>
        </w:rPr>
        <w:t>agli edifici, il cablaggio degli edifici, le antenne, le torri e le altre strutture di supporto, le condotte,</w:t>
      </w:r>
      <w:r>
        <w:rPr>
          <w:i/>
          <w:iCs/>
        </w:rPr>
        <w:t xml:space="preserve"> </w:t>
      </w:r>
      <w:r w:rsidRPr="007C6D45">
        <w:rPr>
          <w:i/>
          <w:iCs/>
        </w:rPr>
        <w:t>le tubazioni, i piloni, i pozzetti e gli armadi di distribuzione”</w:t>
      </w:r>
      <w:r w:rsidRPr="007C6D45">
        <w:t>.</w:t>
      </w:r>
    </w:p>
    <w:p w14:paraId="132FC0C1" w14:textId="0B3053BE" w:rsidR="007C6D45" w:rsidRPr="007C6D45" w:rsidRDefault="007C6D45" w:rsidP="007C6D45">
      <w:pPr>
        <w:jc w:val="both"/>
      </w:pPr>
      <w:r w:rsidRPr="007C6D45">
        <w:t>Gli operatori che forniscono il servizio di comunicazione elettronica svolgono tale attività in ragione</w:t>
      </w:r>
      <w:r>
        <w:t xml:space="preserve"> </w:t>
      </w:r>
      <w:r w:rsidRPr="007C6D45">
        <w:t>di previa e apposita autorizzazione, come previsto dagli artt. 2, lett. ll), e 11, d.lgs. n. 259 del 2003:</w:t>
      </w:r>
      <w:r>
        <w:t xml:space="preserve"> </w:t>
      </w:r>
      <w:r w:rsidRPr="007C6D45">
        <w:t>essa si intende accordata a coloro che sono iscritti all’Elenco, tenuto dal Ministero delle imprese e</w:t>
      </w:r>
      <w:r>
        <w:t xml:space="preserve"> </w:t>
      </w:r>
      <w:r w:rsidRPr="007C6D45">
        <w:t>del made in Italy, delle società autorizzate a fornire al pubblico servizio di comunicazione elettronica,</w:t>
      </w:r>
      <w:r>
        <w:t xml:space="preserve"> </w:t>
      </w:r>
      <w:r w:rsidRPr="007C6D45">
        <w:t>a norma del medesimo art. 11, comma 7.</w:t>
      </w:r>
    </w:p>
    <w:p w14:paraId="14F373AB" w14:textId="69F20A57" w:rsidR="007C6D45" w:rsidRDefault="007C6D45" w:rsidP="007C6D45">
      <w:pPr>
        <w:jc w:val="both"/>
      </w:pPr>
      <w:r w:rsidRPr="007C6D45">
        <w:t xml:space="preserve">Gli operatori </w:t>
      </w:r>
      <w:r w:rsidR="00705656">
        <w:t xml:space="preserve">invece </w:t>
      </w:r>
      <w:r w:rsidRPr="007C6D45">
        <w:t>che forniscono le risorse correlate, cioè le infrastrutture strumentali al servizio,</w:t>
      </w:r>
      <w:r>
        <w:t xml:space="preserve"> </w:t>
      </w:r>
      <w:r w:rsidRPr="007C6D45">
        <w:t>realizzano le relative opere in virtù di autorizzazione da parte degli enti locali, come previsto dall’art.</w:t>
      </w:r>
      <w:r>
        <w:t xml:space="preserve"> </w:t>
      </w:r>
      <w:r w:rsidRPr="007C6D45">
        <w:t xml:space="preserve">44, d.lgs. n. 259 del 2003, che espressamente la riferisce anche a “… </w:t>
      </w:r>
      <w:r w:rsidRPr="007C6D45">
        <w:rPr>
          <w:i/>
          <w:iCs/>
        </w:rPr>
        <w:t>torri, ... tralicci destinati ad</w:t>
      </w:r>
      <w:r>
        <w:rPr>
          <w:i/>
          <w:iCs/>
        </w:rPr>
        <w:t xml:space="preserve"> </w:t>
      </w:r>
      <w:r w:rsidRPr="007C6D45">
        <w:rPr>
          <w:i/>
          <w:iCs/>
        </w:rPr>
        <w:t xml:space="preserve">ospitare successivamente apparati ..., ripetitori ..., stazioni radio ..., … reti </w:t>
      </w:r>
      <w:r w:rsidRPr="007C6D45">
        <w:t xml:space="preserve">per la </w:t>
      </w:r>
      <w:r w:rsidRPr="007C6D45">
        <w:rPr>
          <w:i/>
          <w:iCs/>
        </w:rPr>
        <w:t>televisione digitale</w:t>
      </w:r>
      <w:r>
        <w:rPr>
          <w:i/>
          <w:iCs/>
        </w:rPr>
        <w:t xml:space="preserve"> </w:t>
      </w:r>
      <w:r w:rsidRPr="007C6D45">
        <w:rPr>
          <w:i/>
          <w:iCs/>
        </w:rPr>
        <w:t>terrestre, ... reti a radiofrequenza dedicate alle emergenze sanitarie ed alla protezione civile, nonché</w:t>
      </w:r>
      <w:r>
        <w:rPr>
          <w:i/>
          <w:iCs/>
        </w:rPr>
        <w:t xml:space="preserve"> </w:t>
      </w:r>
      <w:r w:rsidRPr="007C6D45">
        <w:rPr>
          <w:i/>
          <w:iCs/>
        </w:rPr>
        <w:t>... reti radio a larga banda ...”</w:t>
      </w:r>
      <w:r w:rsidRPr="007C6D45">
        <w:t xml:space="preserve">. A questa </w:t>
      </w:r>
      <w:r w:rsidRPr="007C6D45">
        <w:lastRenderedPageBreak/>
        <w:t>autorizzazione si accompagnerà quella di cui all’art. 49,</w:t>
      </w:r>
      <w:r>
        <w:t xml:space="preserve"> </w:t>
      </w:r>
      <w:r w:rsidRPr="007C6D45">
        <w:t>laddove la realizzazione delle infrastrutture necessiti dell’occupazione di suolo pubblico, per il cui è</w:t>
      </w:r>
      <w:r>
        <w:t xml:space="preserve"> </w:t>
      </w:r>
      <w:r w:rsidRPr="007C6D45">
        <w:t>competente l’ente locale o il diverso soggetto pubblico titolare dell’area interessata. Se invece l’area</w:t>
      </w:r>
      <w:r>
        <w:t xml:space="preserve"> </w:t>
      </w:r>
      <w:r w:rsidRPr="007C6D45">
        <w:t>è di proprietà privata, l’infrastruttura sarà realizzata in virtù del diritto di servitù imposto dall’autorità</w:t>
      </w:r>
      <w:r>
        <w:t xml:space="preserve"> </w:t>
      </w:r>
      <w:r w:rsidRPr="007C6D45">
        <w:t>pubblica a norma dell’art. 53. Resta ovviamente fermo che il</w:t>
      </w:r>
      <w:r>
        <w:t xml:space="preserve"> </w:t>
      </w:r>
      <w:r w:rsidRPr="007C6D45">
        <w:t>proprietario di un’area può metterla a</w:t>
      </w:r>
      <w:r>
        <w:t xml:space="preserve"> </w:t>
      </w:r>
      <w:r w:rsidRPr="007C6D45">
        <w:t>disposizione dell’operatore che realizza la risorsa correlata per il tramite di un contratto privato.</w:t>
      </w:r>
    </w:p>
    <w:p w14:paraId="5EDEE2CF" w14:textId="30DB1410" w:rsidR="00705656" w:rsidRDefault="00E32626" w:rsidP="00705656">
      <w:pPr>
        <w:jc w:val="both"/>
      </w:pPr>
      <w:r>
        <w:t>Ecco pertanto che a</w:t>
      </w:r>
      <w:r w:rsidR="00705656">
        <w:t xml:space="preserve">i fini della corretta quantificazione del canone relativo le varie installazioni, dovremo necessariamente fare riferimento ai diversi operatori che accedano all’infrastruttura, sia quindi </w:t>
      </w:r>
      <w:r>
        <w:t xml:space="preserve">quelli </w:t>
      </w:r>
      <w:r w:rsidR="00705656" w:rsidRPr="007C6D45">
        <w:t>che prestano</w:t>
      </w:r>
      <w:r w:rsidR="00705656">
        <w:t xml:space="preserve"> </w:t>
      </w:r>
      <w:r w:rsidR="00705656" w:rsidRPr="007C6D45">
        <w:t xml:space="preserve">il servizio di comunicazione elettronica, sia </w:t>
      </w:r>
      <w:r w:rsidR="00705656">
        <w:t xml:space="preserve">le aziende </w:t>
      </w:r>
      <w:r w:rsidR="00705656" w:rsidRPr="007C6D45">
        <w:t>che realizzano e collocano le opere su cui</w:t>
      </w:r>
      <w:r w:rsidR="00705656">
        <w:t xml:space="preserve"> </w:t>
      </w:r>
      <w:r w:rsidR="00705656" w:rsidRPr="007C6D45">
        <w:t>sono montati gli impianti attraverso i quali si prestano i servizi di comunicazione.</w:t>
      </w:r>
    </w:p>
    <w:p w14:paraId="111B487B" w14:textId="2C4C7F26" w:rsidR="00705656" w:rsidRDefault="00705656" w:rsidP="00705656">
      <w:pPr>
        <w:jc w:val="both"/>
      </w:pPr>
      <w:r>
        <w:t xml:space="preserve">Questo </w:t>
      </w:r>
      <w:r w:rsidR="00E32626">
        <w:t>significa</w:t>
      </w:r>
      <w:r>
        <w:t xml:space="preserve"> che anche il</w:t>
      </w:r>
      <w:r w:rsidR="00E32626">
        <w:t xml:space="preserve"> cosiddetto “</w:t>
      </w:r>
      <w:r w:rsidRPr="00705656">
        <w:t>plinto di base per palo infrastruttura comunicazioni elettroniche</w:t>
      </w:r>
      <w:r>
        <w:t>” rappresenta un manufatto soggetto al pagamento del Canone secondo la tariffa fissata dal Legislatore al comma 831 bis.</w:t>
      </w:r>
    </w:p>
    <w:p w14:paraId="5255204D" w14:textId="58E2D90F" w:rsidR="00B43755" w:rsidRDefault="00B43755" w:rsidP="00B43755">
      <w:pPr>
        <w:jc w:val="both"/>
      </w:pPr>
      <w:r>
        <w:t>O</w:t>
      </w:r>
      <w:r w:rsidRPr="00B43755">
        <w:t>gni singol</w:t>
      </w:r>
      <w:r>
        <w:t>o</w:t>
      </w:r>
      <w:r w:rsidRPr="00B43755">
        <w:t xml:space="preserve"> </w:t>
      </w:r>
      <w:r>
        <w:t>operatore</w:t>
      </w:r>
      <w:r w:rsidRPr="00B43755">
        <w:t xml:space="preserve"> dovrà </w:t>
      </w:r>
      <w:r w:rsidR="00E32626">
        <w:t xml:space="preserve">quindi </w:t>
      </w:r>
      <w:r w:rsidRPr="00B43755">
        <w:t xml:space="preserve">versare per il proprio impianto di trasmissione, così come la società concessionaria del traliccio sarà anch’essa chiamata al pagamento in quanto l’infrastruttura costituisce un’occupazione di suolo </w:t>
      </w:r>
      <w:r w:rsidR="00E32626">
        <w:t xml:space="preserve">oltre che </w:t>
      </w:r>
      <w:r w:rsidR="00E32626" w:rsidRPr="00B43755">
        <w:t>un</w:t>
      </w:r>
      <w:r w:rsidRPr="00B43755">
        <w:t xml:space="preserve"> impianto direttamente funzionale all'erogazione del servizio. </w:t>
      </w:r>
    </w:p>
    <w:p w14:paraId="05E93F12" w14:textId="3968B59B" w:rsidR="00B43755" w:rsidRDefault="00E32626" w:rsidP="00B43755">
      <w:pPr>
        <w:jc w:val="both"/>
      </w:pPr>
      <w:r>
        <w:t>È evidente come questa l</w:t>
      </w:r>
      <w:r w:rsidR="00B43755">
        <w:t>inea operativa segu</w:t>
      </w:r>
      <w:r>
        <w:t>a</w:t>
      </w:r>
      <w:r w:rsidR="00B43755">
        <w:t xml:space="preserve"> quanto già adottato </w:t>
      </w:r>
      <w:r w:rsidR="00B43755" w:rsidRPr="00B43755">
        <w:t>per le</w:t>
      </w:r>
      <w:r w:rsidR="00B43755">
        <w:t xml:space="preserve"> diverse</w:t>
      </w:r>
      <w:r w:rsidR="00B43755" w:rsidRPr="00B43755">
        <w:t xml:space="preserve"> infrastrutture dedicate all’erogazione dei servizi di rete disciplinat</w:t>
      </w:r>
      <w:r w:rsidR="00B43755">
        <w:t>e</w:t>
      </w:r>
      <w:r w:rsidR="00B43755" w:rsidRPr="00B43755">
        <w:t xml:space="preserve"> nel</w:t>
      </w:r>
      <w:r>
        <w:t xml:space="preserve"> precedente</w:t>
      </w:r>
      <w:r w:rsidR="00B43755" w:rsidRPr="00B43755">
        <w:t xml:space="preserve"> comma 831, </w:t>
      </w:r>
      <w:r w:rsidR="00B43755">
        <w:t xml:space="preserve">e in particolare </w:t>
      </w:r>
      <w:r w:rsidR="00B43755" w:rsidRPr="00B43755">
        <w:t xml:space="preserve">secondo quanto stabilito dalla norma di interpretazione autentica di cui all’art. 5, comma 14-quinquies, lett. b) del D. L. n. 146 del 2021, </w:t>
      </w:r>
      <w:r w:rsidR="00B43755">
        <w:t>in base alla quale</w:t>
      </w:r>
      <w:r w:rsidR="00B43755" w:rsidRPr="00B43755">
        <w:t xml:space="preserve"> </w:t>
      </w:r>
      <w:r w:rsidR="00694391">
        <w:t>possiamo affermare che</w:t>
      </w:r>
      <w:r>
        <w:t>, oltre agli operato</w:t>
      </w:r>
      <w:r w:rsidR="00EE48A2">
        <w:t xml:space="preserve">ri </w:t>
      </w:r>
      <w:r w:rsidR="00EE48A2" w:rsidRPr="007C6D45">
        <w:t>di comunicazione elettronica</w:t>
      </w:r>
      <w:r w:rsidR="00EE48A2">
        <w:t>, anche</w:t>
      </w:r>
      <w:r>
        <w:t xml:space="preserve">  </w:t>
      </w:r>
      <w:r w:rsidR="00B43755" w:rsidRPr="00B43755">
        <w:t xml:space="preserve">la società titolare del </w:t>
      </w:r>
      <w:r w:rsidR="00B43755">
        <w:t xml:space="preserve">plinto e del </w:t>
      </w:r>
      <w:r w:rsidR="00B43755" w:rsidRPr="00B43755">
        <w:t xml:space="preserve">traliccio </w:t>
      </w:r>
      <w:r w:rsidR="00694391">
        <w:t>dovrà</w:t>
      </w:r>
      <w:r w:rsidR="00B43755" w:rsidRPr="00B43755">
        <w:t xml:space="preserve"> versare il canone unico per l’occupazione di suolo pubblico, con applicazione della tariffa forfetaria di 800 euro annuali</w:t>
      </w:r>
      <w:r w:rsidR="00694391">
        <w:t xml:space="preserve">, </w:t>
      </w:r>
      <w:r w:rsidR="00B43755">
        <w:t>rivalutat</w:t>
      </w:r>
      <w:r w:rsidR="00694391">
        <w:t>a</w:t>
      </w:r>
      <w:r w:rsidR="00B43755">
        <w:t xml:space="preserve"> annualmente</w:t>
      </w:r>
      <w:r w:rsidR="00B43755" w:rsidRPr="00B43755">
        <w:t>.</w:t>
      </w:r>
    </w:p>
    <w:p w14:paraId="51B76D27" w14:textId="77777777" w:rsidR="00705656" w:rsidRPr="007C6D45" w:rsidRDefault="00705656" w:rsidP="00705656">
      <w:pPr>
        <w:jc w:val="both"/>
      </w:pPr>
    </w:p>
    <w:p w14:paraId="2623E43A" w14:textId="27B0087A" w:rsidR="00705656" w:rsidRDefault="00705656" w:rsidP="007C6D45">
      <w:pPr>
        <w:jc w:val="both"/>
      </w:pPr>
    </w:p>
    <w:sectPr w:rsidR="0070565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4AD"/>
    <w:rsid w:val="003074AD"/>
    <w:rsid w:val="00366798"/>
    <w:rsid w:val="004720E2"/>
    <w:rsid w:val="005104BC"/>
    <w:rsid w:val="006672EA"/>
    <w:rsid w:val="00694391"/>
    <w:rsid w:val="00705656"/>
    <w:rsid w:val="007C6D45"/>
    <w:rsid w:val="00B43755"/>
    <w:rsid w:val="00E32626"/>
    <w:rsid w:val="00EE48A2"/>
    <w:rsid w:val="00F3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22A4B"/>
  <w15:chartTrackingRefBased/>
  <w15:docId w15:val="{C108C5CD-6917-4201-90E6-AED1FA2F2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07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07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074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07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074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07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07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07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07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074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074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074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074AD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074AD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074A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074A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074A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074A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07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07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07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07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07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074A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074A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074AD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074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074AD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074AD"/>
    <w:rPr>
      <w:b/>
      <w:bCs/>
      <w:smallCaps/>
      <w:color w:val="2F5496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4720E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938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Merciari</dc:creator>
  <cp:keywords/>
  <dc:description/>
  <cp:lastModifiedBy>Merciari</cp:lastModifiedBy>
  <cp:revision>4</cp:revision>
  <dcterms:created xsi:type="dcterms:W3CDTF">2025-10-04T14:17:00Z</dcterms:created>
  <dcterms:modified xsi:type="dcterms:W3CDTF">2025-10-04T15:01:00Z</dcterms:modified>
</cp:coreProperties>
</file>