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D2327E" w14:textId="034BAFD0" w:rsidR="00060149" w:rsidRDefault="00F2745F">
      <w:r>
        <w:t xml:space="preserve">Titolo: come costruire la giusta tariffa CUP </w:t>
      </w:r>
    </w:p>
    <w:p w14:paraId="03282D4A" w14:textId="68A18AB3" w:rsidR="00F2745F" w:rsidRDefault="00F2745F">
      <w:r>
        <w:t>Di Alessandro Merciari</w:t>
      </w:r>
    </w:p>
    <w:p w14:paraId="4AD58A92" w14:textId="77777777" w:rsidR="00F2745F" w:rsidRDefault="00F2745F" w:rsidP="00F2745F">
      <w:pPr>
        <w:jc w:val="both"/>
      </w:pPr>
    </w:p>
    <w:p w14:paraId="3F04B119" w14:textId="5CE7A281" w:rsidR="00F2745F" w:rsidRDefault="00F2745F" w:rsidP="00F2745F">
      <w:pPr>
        <w:jc w:val="both"/>
      </w:pPr>
      <w:r>
        <w:t xml:space="preserve">La costruzione dell’impianto tariffario del Canone Unico </w:t>
      </w:r>
      <w:r w:rsidR="007968C2">
        <w:t>rappresenta uno</w:t>
      </w:r>
      <w:r>
        <w:t xml:space="preserve"> dei temi più interessanti della nuova disciplina del CUP, l’entrata introdotta dal 2021 dal Legislatore per gestire il prelievo, a favore degli enti territoriali, relativamente alle occupazioni di suolo pubblico e alle esposizioni pubblicitarie effettuate nel territorio di </w:t>
      </w:r>
      <w:r w:rsidR="00487270">
        <w:t xml:space="preserve">loro </w:t>
      </w:r>
      <w:r>
        <w:t>competenza.</w:t>
      </w:r>
    </w:p>
    <w:p w14:paraId="1023124B" w14:textId="19CB028E" w:rsidR="00F2745F" w:rsidRDefault="00F2745F" w:rsidP="00F2745F">
      <w:pPr>
        <w:jc w:val="both"/>
      </w:pPr>
      <w:r>
        <w:t>Le tariffe</w:t>
      </w:r>
      <w:r w:rsidR="00487270">
        <w:t xml:space="preserve"> da modulare in base ai criteri dettati dal Legislatore,</w:t>
      </w:r>
      <w:r>
        <w:t xml:space="preserve"> riguardano essenzialmente tre macro categorie</w:t>
      </w:r>
      <w:r w:rsidR="00BD336E">
        <w:t>:</w:t>
      </w:r>
      <w:r>
        <w:t xml:space="preserve"> le occupazioni di suolo pubblico, le diffusioni pubblicitarie e le pubbliche affissioni.</w:t>
      </w:r>
    </w:p>
    <w:p w14:paraId="72C28860" w14:textId="7F41E2CC" w:rsidR="007968C2" w:rsidRDefault="00487270" w:rsidP="007968C2">
      <w:pPr>
        <w:jc w:val="both"/>
      </w:pPr>
      <w:r>
        <w:t>L</w:t>
      </w:r>
      <w:r w:rsidR="00F2745F">
        <w:t>a disciplina contenuta nella Legge 160/2019 ha previsto ai commi 826 e 827 le tariffe base</w:t>
      </w:r>
      <w:r>
        <w:t>,</w:t>
      </w:r>
      <w:r w:rsidR="00F2745F">
        <w:t xml:space="preserve"> </w:t>
      </w:r>
      <w:r>
        <w:t xml:space="preserve">rispettivamente </w:t>
      </w:r>
      <w:r w:rsidR="00F2745F">
        <w:t>permanenti e temporanee</w:t>
      </w:r>
      <w:r>
        <w:t>,</w:t>
      </w:r>
      <w:r w:rsidR="00F2745F">
        <w:t xml:space="preserve"> distinte per classe di comune, lasciando la possibilità </w:t>
      </w:r>
      <w:r>
        <w:t xml:space="preserve">alle </w:t>
      </w:r>
      <w:r w:rsidR="00BD336E">
        <w:t xml:space="preserve">singole </w:t>
      </w:r>
      <w:r>
        <w:t>amministrazioni locali</w:t>
      </w:r>
      <w:r w:rsidR="00F2745F">
        <w:t>, nell’ambito dell’autonomia in materia di proprie entrate riconosciuta dall’articolo 52 del D.Lgs 446/97, di modulare l’impianto tariffario sulla base della storia dei prelievi precedenti</w:t>
      </w:r>
      <w:r>
        <w:t xml:space="preserve"> e sulle caratteristiche del proprio territorio e tessuto abitativo, commerciale ed economico in genere</w:t>
      </w:r>
      <w:r w:rsidR="005E1F84">
        <w:t>.</w:t>
      </w:r>
      <w:r w:rsidR="007968C2">
        <w:t xml:space="preserve"> </w:t>
      </w:r>
    </w:p>
    <w:p w14:paraId="05DCC66A" w14:textId="1DB0048B" w:rsidR="00F2745F" w:rsidRDefault="007968C2" w:rsidP="007968C2">
      <w:pPr>
        <w:jc w:val="both"/>
        <w:rPr>
          <w:i/>
          <w:iCs/>
        </w:rPr>
      </w:pPr>
      <w:r>
        <w:t xml:space="preserve">Ecco quindi che </w:t>
      </w:r>
      <w:r w:rsidR="00BD336E">
        <w:t xml:space="preserve">per </w:t>
      </w:r>
      <w:r w:rsidR="00487270">
        <w:t>gli oltre 8.000 c</w:t>
      </w:r>
      <w:r>
        <w:t xml:space="preserve">omuni </w:t>
      </w:r>
      <w:r w:rsidR="00487270">
        <w:t xml:space="preserve">italiani </w:t>
      </w:r>
      <w:r w:rsidR="00BD336E">
        <w:t>si è dovuto</w:t>
      </w:r>
      <w:r>
        <w:t xml:space="preserve"> affrontare </w:t>
      </w:r>
      <w:r w:rsidR="00BD336E">
        <w:t xml:space="preserve">un percorso di </w:t>
      </w:r>
      <w:r>
        <w:t>costruzione del proprio impianto tariffario</w:t>
      </w:r>
      <w:r w:rsidR="00BD336E">
        <w:t>,</w:t>
      </w:r>
      <w:r>
        <w:t xml:space="preserve"> fin dal primo anno di applicazione</w:t>
      </w:r>
      <w:r w:rsidR="00BD336E">
        <w:t xml:space="preserve"> della nuova entrata,</w:t>
      </w:r>
      <w:r>
        <w:t xml:space="preserve"> per garantire il rispetto di quel vincolo imposto dal comma 817 che aveva previsto</w:t>
      </w:r>
      <w:r w:rsidR="00BD336E">
        <w:t xml:space="preserve"> come</w:t>
      </w:r>
      <w:r>
        <w:t xml:space="preserve">: </w:t>
      </w:r>
      <w:r w:rsidRPr="007968C2">
        <w:rPr>
          <w:i/>
          <w:iCs/>
        </w:rPr>
        <w:t>“Il canone è disciplinato dagli enti in modo da assicurare un gettito pari a quello conseguito dai canoni e dai tributi che sono sostituiti dal canone, fatta salva, in ogni caso, la possibilità di variare il gettito attraverso la modifica delle tariffe.”</w:t>
      </w:r>
      <w:r>
        <w:rPr>
          <w:i/>
          <w:iCs/>
        </w:rPr>
        <w:t>.</w:t>
      </w:r>
    </w:p>
    <w:p w14:paraId="2C1CFA56" w14:textId="5EF197E8" w:rsidR="007968C2" w:rsidRDefault="007968C2" w:rsidP="007968C2">
      <w:pPr>
        <w:jc w:val="both"/>
      </w:pPr>
      <w:r>
        <w:t>Lo stesso Legislatore aveva quindi indotto tutte le amministrazioni territoriali a cercare le forme più corrette per garantire l’invarianza rispetto ai precedenti prelievi e allo stesso tempo rispettare i principi di gradualità e ragionevolezza delle tariffe con</w:t>
      </w:r>
      <w:r w:rsidR="00BD336E">
        <w:t xml:space="preserve"> attenzione anche al</w:t>
      </w:r>
      <w:r>
        <w:t xml:space="preserve"> rispetto dei parametri di beneficio economico e di sacrificio imposto alla collettività per la presenza sul territorio di mezzi pubblicitari e occupazioni che impattano, anche visivamente, sul decoro e sul paesaggio urbano delle nostre città.</w:t>
      </w:r>
    </w:p>
    <w:p w14:paraId="6EBC6DA9" w14:textId="00DAAE1B" w:rsidR="007968C2" w:rsidRDefault="007968C2" w:rsidP="007968C2">
      <w:pPr>
        <w:jc w:val="both"/>
      </w:pPr>
      <w:r>
        <w:t xml:space="preserve">Una costruzione di tariffe che </w:t>
      </w:r>
      <w:r w:rsidR="00487270">
        <w:t>può</w:t>
      </w:r>
      <w:r>
        <w:t xml:space="preserve"> essere sviluppata sia prevedendo delle maggiorazioni e riduzioni percentuali </w:t>
      </w:r>
      <w:r w:rsidR="00BD336E">
        <w:t>sull’importo base, sia</w:t>
      </w:r>
      <w:r>
        <w:t xml:space="preserve"> sfruttando il sistema di coefficienti moltiplicatori che garanti</w:t>
      </w:r>
      <w:r w:rsidR="00487270">
        <w:t>scono</w:t>
      </w:r>
      <w:r>
        <w:t xml:space="preserve"> una più facile e intuitiva gestione dell’impianto tariffario</w:t>
      </w:r>
      <w:r w:rsidR="00487270">
        <w:t xml:space="preserve"> stesso</w:t>
      </w:r>
      <w:r>
        <w:t>. Del resto l’articolo 52 del D.Lgs 446/97 riconosce</w:t>
      </w:r>
      <w:r w:rsidR="00BD336E">
        <w:t xml:space="preserve"> quella</w:t>
      </w:r>
      <w:r>
        <w:t xml:space="preserve"> potestà e l’autonomia regolamentare dei  comuni che si realizza </w:t>
      </w:r>
      <w:r w:rsidR="00257D36">
        <w:t xml:space="preserve">pienamente </w:t>
      </w:r>
      <w:r w:rsidR="00487270">
        <w:t xml:space="preserve">proprio </w:t>
      </w:r>
      <w:r w:rsidR="00257D36">
        <w:t>con le entrate di natura patrimoniale per le quali</w:t>
      </w:r>
      <w:r>
        <w:t xml:space="preserve"> non </w:t>
      </w:r>
      <w:r w:rsidR="00487270">
        <w:t>è neppure necessario</w:t>
      </w:r>
      <w:r>
        <w:t xml:space="preserve"> sottostare al limite dell’individuazione delle fattispecie imponibili.</w:t>
      </w:r>
    </w:p>
    <w:p w14:paraId="0609AB28" w14:textId="5A99F511" w:rsidR="002A4243" w:rsidRDefault="00487270" w:rsidP="002A4243">
      <w:pPr>
        <w:jc w:val="both"/>
      </w:pPr>
      <w:r>
        <w:t xml:space="preserve">Sulla tematica avevamo </w:t>
      </w:r>
      <w:r w:rsidR="00BD336E">
        <w:t xml:space="preserve">in passato </w:t>
      </w:r>
      <w:r>
        <w:t xml:space="preserve">già </w:t>
      </w:r>
      <w:r w:rsidR="00BD336E">
        <w:t>analizzato la</w:t>
      </w:r>
      <w:r w:rsidR="002A4243">
        <w:t xml:space="preserve"> sentenza emessa dalla sezione staccata di Brescia del TAR Lombardia, </w:t>
      </w:r>
      <w:r w:rsidR="008737C9">
        <w:t xml:space="preserve">che decretò come </w:t>
      </w:r>
      <w:r w:rsidR="002A4243">
        <w:t xml:space="preserve">legittimato l’operato del Comune che aveva </w:t>
      </w:r>
      <w:r w:rsidR="008737C9">
        <w:t xml:space="preserve">realizzato il proprio </w:t>
      </w:r>
      <w:r w:rsidR="002A4243">
        <w:t>impianto tariffario utilizzando coefficienti per definire le maggiorazioni tariffarie da applicare ad iniziative pubblicitarie luminose o illuminate, e con esposizione in determinate zone del territorio dove la visibilità e il conseguente valore sono maggiori rispetto a diverse  zone di minor pregio. Concetti che possiamo replicare anche sul presupposto legato alle occupazioni di suolo pubblico</w:t>
      </w:r>
      <w:r w:rsidR="00BD336E">
        <w:t xml:space="preserve"> dove si evidenziano ancora con più forza i principi di beneficio che ritrae il soggetto che occupa uno spazio pubblico, e di sacrificio che si impone alla collettività per la sottrazione di aree che viceversa resterebbero fruibili.</w:t>
      </w:r>
    </w:p>
    <w:p w14:paraId="72E572C9" w14:textId="083897A9" w:rsidR="002A4243" w:rsidRPr="00EE0F6D" w:rsidRDefault="002A4243" w:rsidP="002A4243">
      <w:pPr>
        <w:jc w:val="both"/>
      </w:pPr>
      <w:r>
        <w:t xml:space="preserve">In particolare nella sentenza si legge: </w:t>
      </w:r>
      <w:r w:rsidRPr="00C323BB">
        <w:rPr>
          <w:i/>
          <w:iCs/>
        </w:rPr>
        <w:t xml:space="preserve">“la moderna pianificazione urbanistica ha ormai acquisito il concetto di incidenza paesistica anche al di fuori delle zone vincolate, e considerando poi che nel testo normativo vi è un chiaro disaccoppiamento tra il canone unico patrimoniale e gli elementi indicativi della capacità contributiva. Il presupposto della decurtazione patrimoniale è infatti la mera visibilità degli impianti pubblicitari da luoghi pubblici o aperti al pubblico (art. 1 comma 819-b della legge 160/2019), ossia la modifica del paesaggio </w:t>
      </w:r>
      <w:r w:rsidRPr="00C323BB">
        <w:rPr>
          <w:i/>
          <w:iCs/>
        </w:rPr>
        <w:lastRenderedPageBreak/>
        <w:t>urbano misurata in termini di superficie, indipendentemente dal tipo e dal numero dei messaggi pubblicitari (art. 1 comma 825 della legge 160/2019).”</w:t>
      </w:r>
      <w:r>
        <w:rPr>
          <w:i/>
          <w:iCs/>
        </w:rPr>
        <w:t xml:space="preserve"> </w:t>
      </w:r>
      <w:r w:rsidRPr="00AD5F88">
        <w:t>Questo</w:t>
      </w:r>
      <w:r w:rsidRPr="00AD5F88">
        <w:rPr>
          <w:i/>
          <w:iCs/>
        </w:rPr>
        <w:t xml:space="preserve"> </w:t>
      </w:r>
      <w:r w:rsidRPr="00AD5F88">
        <w:t>per confermare come la nuova entrata rappresenti una vera innovazione rispetto al passato, e possa</w:t>
      </w:r>
      <w:r>
        <w:t>,</w:t>
      </w:r>
      <w:r w:rsidRPr="00AD5F88">
        <w:t xml:space="preserve"> a tutti gli effetti</w:t>
      </w:r>
      <w:r>
        <w:t>,</w:t>
      </w:r>
      <w:r w:rsidRPr="00AD5F88">
        <w:t xml:space="preserve"> essere valutata come entrata patrimoniale e il suo introito come corrispettivo e non come tributo</w:t>
      </w:r>
      <w:r>
        <w:t xml:space="preserve"> legato alla</w:t>
      </w:r>
      <w:r w:rsidRPr="00AD5F88">
        <w:t xml:space="preserve"> modifica del paesaggio urbano</w:t>
      </w:r>
      <w:r>
        <w:t>.</w:t>
      </w:r>
    </w:p>
    <w:p w14:paraId="5FD7BFC9" w14:textId="541D7C95" w:rsidR="002A4243" w:rsidRDefault="00F35B20" w:rsidP="002655F8">
      <w:pPr>
        <w:jc w:val="both"/>
      </w:pPr>
      <w:r>
        <w:t>Come detto quindi n</w:t>
      </w:r>
      <w:r w:rsidR="002655F8">
        <w:t xml:space="preserve">ella ricerca del giusto bilanciamento tariffario vengono in soccorso due indicatori, si tratta del principio del «beneficio economico» e il principio del «sacrificio imposto alla collettività». Per quanto riguarda le occupazioni di suolo pubblico, con il primo principio si fa riferimento al vantaggio che trae l'iniziativa economica privata dallo sfruttamento del suolo pubblico, ovvero quel valore economico rappresentato dalla disponibilità dell'area a cui </w:t>
      </w:r>
      <w:r>
        <w:t xml:space="preserve">ad esempio </w:t>
      </w:r>
      <w:r w:rsidR="002655F8">
        <w:t>le imprese di somministrazione di cibi e bevande, fanno riferimento per ricavare il loro profitto e realizzare importanti fatturati; con il secondo indicatore invece, «il sacrificio imposto alla collettività» si mette in evidenza la problematica derivante dall’occupare in modo diffuso il suolo pubblico, imponendo ai residenti e in generale a tutti i cittadini un</w:t>
      </w:r>
      <w:r w:rsidR="002655F8" w:rsidRPr="002655F8">
        <w:t xml:space="preserve"> sacrificio per il mancato godimento di spazi pubblici che solitamente vengono lasciati alla libera</w:t>
      </w:r>
      <w:r w:rsidR="002655F8">
        <w:t xml:space="preserve"> </w:t>
      </w:r>
      <w:r w:rsidR="002655F8" w:rsidRPr="002655F8">
        <w:t>circolazione delle persone</w:t>
      </w:r>
      <w:r w:rsidR="002655F8">
        <w:t xml:space="preserve">. </w:t>
      </w:r>
    </w:p>
    <w:p w14:paraId="543CE164" w14:textId="1148E8D0" w:rsidR="008F3C15" w:rsidRDefault="00D00DEE" w:rsidP="002655F8">
      <w:pPr>
        <w:jc w:val="both"/>
      </w:pPr>
      <w:r>
        <w:t xml:space="preserve">Stesse considerazioni che possono essere ripetute per le iniziative pubblicitarie dove si evidenzia maggiormente l’indicatore del beneficio economico, che ritrae chi commercializza lo spazio </w:t>
      </w:r>
      <w:r w:rsidR="008F3C15">
        <w:t>pubblicitario concesso</w:t>
      </w:r>
      <w:r w:rsidR="00F35B20">
        <w:t xml:space="preserve"> dalla pubblica amministrazione</w:t>
      </w:r>
      <w:r>
        <w:t xml:space="preserve">, ma </w:t>
      </w:r>
      <w:r w:rsidR="00F35B20">
        <w:t>dove</w:t>
      </w:r>
      <w:r>
        <w:t xml:space="preserve"> assume </w:t>
      </w:r>
      <w:r w:rsidR="00F35B20">
        <w:t xml:space="preserve">comunque una certa </w:t>
      </w:r>
      <w:r>
        <w:t xml:space="preserve">rilevanza anche </w:t>
      </w:r>
      <w:r w:rsidR="008F3C15">
        <w:t xml:space="preserve">come </w:t>
      </w:r>
      <w:r>
        <w:t xml:space="preserve">impatto che </w:t>
      </w:r>
      <w:r w:rsidR="008F3C15">
        <w:t>le</w:t>
      </w:r>
      <w:r>
        <w:t xml:space="preserve"> diffusioni </w:t>
      </w:r>
      <w:r w:rsidR="00F35B20">
        <w:t xml:space="preserve">pubblicitarie </w:t>
      </w:r>
      <w:r>
        <w:t>hanno sull</w:t>
      </w:r>
      <w:r w:rsidR="008F3C15">
        <w:t>’ambiente urbano, a sacrificio della collettività.</w:t>
      </w:r>
    </w:p>
    <w:p w14:paraId="799BC7F1" w14:textId="3DEF3146" w:rsidR="00F35B20" w:rsidRDefault="00F35B20" w:rsidP="00DF1202">
      <w:pPr>
        <w:jc w:val="both"/>
      </w:pPr>
      <w:r>
        <w:t>Per le occupazioni di suolo pubblico e per le diffusioni pubblicitarie in genere gli elementi necessari per definire il canone, e quindi le tariffe, sono ben identificati dal Legislatore rispettivamente nei commi 824 e 825, nei quali si richiamano gli elementi da valutare da parte degli enti territoriali, in modo coordinato con i principi sopra espressi</w:t>
      </w:r>
      <w:r w:rsidR="00DF1202">
        <w:t>. Si tratta per le occupazioni di cui al comma819, lettera a), della durata, della superficie, della tipologia, della finalità e della zona occupata del territorio comunale o provinciale o della città metropolitana in cui è effettuata l’occupazione. Invece, per la diffusione di messaggi pubblicitari di cui al comma 819, lettera b), il canone è determinato in base alla superficie complessiva del mezzo pubblicitario, calcolata in metri quadrati, indipendentemente dal tipo e dal numero dei messaggi. Gli altri elementi che possono incidere sulla formazione della tariffa vengono demandati alle singole discipline regolamentari.</w:t>
      </w:r>
    </w:p>
    <w:p w14:paraId="2FAA25EC" w14:textId="388B624C" w:rsidR="00DF1202" w:rsidRDefault="00DF1202" w:rsidP="00DF1202">
      <w:pPr>
        <w:jc w:val="both"/>
      </w:pPr>
      <w:r>
        <w:t xml:space="preserve">In questo quadro normativo di riferimento </w:t>
      </w:r>
      <w:r w:rsidR="009D688A">
        <w:t xml:space="preserve">sul quale affidarsi per la costruzioni delle tariffe, manca qualsiasi riferimento utile alla costruzione della tariffa per quello che con il precedente regime era conosciuto come DPA – diritto sulle pubbliche Affissioni, sia per la definizione delle tariffe per l’affissione dei manifesti, sia per la definizione delle tariffe delle eventuali forme di esposizione alternative che alcuni comuni </w:t>
      </w:r>
      <w:r w:rsidR="008874D5">
        <w:t>hanno</w:t>
      </w:r>
      <w:r w:rsidR="009D688A">
        <w:t xml:space="preserve"> appronta</w:t>
      </w:r>
      <w:r w:rsidR="008874D5">
        <w:t>to</w:t>
      </w:r>
      <w:r w:rsidR="009D688A">
        <w:t xml:space="preserve"> in sostituzione del vecchio sistema di affissioni manifesti cartacei.</w:t>
      </w:r>
    </w:p>
    <w:p w14:paraId="45AD43D4" w14:textId="79E2DD2F" w:rsidR="009D688A" w:rsidRDefault="009D688A" w:rsidP="00DF1202">
      <w:pPr>
        <w:jc w:val="both"/>
      </w:pPr>
      <w:r>
        <w:t>Nel prossimo approfondimento vedremo come realizzare l’impianto tariffario dedicato al servizio delle Pubbliche Affissioni e alle sue modalità alternative di esecuzione.</w:t>
      </w:r>
    </w:p>
    <w:p w14:paraId="7D69C3A0" w14:textId="77777777" w:rsidR="009D688A" w:rsidRDefault="009D688A" w:rsidP="00DF1202">
      <w:pPr>
        <w:jc w:val="both"/>
      </w:pPr>
    </w:p>
    <w:p w14:paraId="589D90F2" w14:textId="77777777" w:rsidR="008F3C15" w:rsidRDefault="008F3C15" w:rsidP="002655F8">
      <w:pPr>
        <w:jc w:val="both"/>
      </w:pPr>
    </w:p>
    <w:p w14:paraId="40751B42" w14:textId="7202106C" w:rsidR="00D00DEE" w:rsidRDefault="00D00DEE" w:rsidP="002655F8">
      <w:pPr>
        <w:jc w:val="both"/>
      </w:pPr>
      <w:r>
        <w:t xml:space="preserve"> </w:t>
      </w:r>
    </w:p>
    <w:p w14:paraId="32E591F4" w14:textId="77777777" w:rsidR="007968C2" w:rsidRDefault="007968C2" w:rsidP="007968C2">
      <w:pPr>
        <w:jc w:val="both"/>
      </w:pPr>
    </w:p>
    <w:p w14:paraId="6A446C95" w14:textId="77777777" w:rsidR="005E1F84" w:rsidRDefault="005E1F84" w:rsidP="00F2745F">
      <w:pPr>
        <w:jc w:val="both"/>
      </w:pPr>
    </w:p>
    <w:sectPr w:rsidR="005E1F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3E"/>
    <w:rsid w:val="00060149"/>
    <w:rsid w:val="00141853"/>
    <w:rsid w:val="00257D36"/>
    <w:rsid w:val="002655F8"/>
    <w:rsid w:val="002A4243"/>
    <w:rsid w:val="00487270"/>
    <w:rsid w:val="005E1F84"/>
    <w:rsid w:val="007968C2"/>
    <w:rsid w:val="008737C9"/>
    <w:rsid w:val="008874D5"/>
    <w:rsid w:val="008F3C15"/>
    <w:rsid w:val="009D688A"/>
    <w:rsid w:val="00A75190"/>
    <w:rsid w:val="00BD336E"/>
    <w:rsid w:val="00CF6AE7"/>
    <w:rsid w:val="00D00DEE"/>
    <w:rsid w:val="00DF1202"/>
    <w:rsid w:val="00E7203E"/>
    <w:rsid w:val="00E973F7"/>
    <w:rsid w:val="00F2745F"/>
    <w:rsid w:val="00F35B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D23C"/>
  <w15:chartTrackingRefBased/>
  <w15:docId w15:val="{2F14B8B9-BAD1-4BDD-AB5D-5B1F8624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2</Pages>
  <Words>1142</Words>
  <Characters>6515</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11</cp:revision>
  <dcterms:created xsi:type="dcterms:W3CDTF">2024-05-06T07:52:00Z</dcterms:created>
  <dcterms:modified xsi:type="dcterms:W3CDTF">2024-05-18T08:12:00Z</dcterms:modified>
</cp:coreProperties>
</file>