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AED98" w14:textId="77777777" w:rsidR="00BE51F8" w:rsidRPr="00BE51F8" w:rsidRDefault="00BE51F8">
      <w:pPr>
        <w:rPr>
          <w:b/>
          <w:bCs/>
          <w:sz w:val="28"/>
          <w:szCs w:val="28"/>
        </w:rPr>
      </w:pPr>
      <w:r w:rsidRPr="00BE51F8">
        <w:rPr>
          <w:b/>
          <w:bCs/>
          <w:sz w:val="28"/>
          <w:szCs w:val="28"/>
        </w:rPr>
        <w:t>Alessandro Merciari</w:t>
      </w:r>
    </w:p>
    <w:p w14:paraId="3511E417" w14:textId="6B899C4F" w:rsidR="00B544ED" w:rsidRPr="00694CAC" w:rsidRDefault="00CE31E7" w:rsidP="00BE51F8">
      <w:pPr>
        <w:jc w:val="both"/>
        <w:rPr>
          <w:sz w:val="28"/>
          <w:szCs w:val="28"/>
        </w:rPr>
      </w:pPr>
      <w:r w:rsidRPr="00694CAC">
        <w:rPr>
          <w:sz w:val="28"/>
          <w:szCs w:val="28"/>
        </w:rPr>
        <w:t xml:space="preserve">Funzionario Responsabile Tributi e altre Entrate per diversi Enti locali, Funzionario Responsabile per la Riscossione con abilitazione di Legge per diversi Comuni, docente Anutel e autore di diverse pubblicazioni in materia di tributi locali e entrate patrimoniali </w:t>
      </w:r>
    </w:p>
    <w:sectPr w:rsidR="00B544ED" w:rsidRPr="00694CA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523"/>
    <w:rsid w:val="00675523"/>
    <w:rsid w:val="00694CAC"/>
    <w:rsid w:val="00B544ED"/>
    <w:rsid w:val="00BE51F8"/>
    <w:rsid w:val="00CE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AA0B0"/>
  <w15:chartTrackingRefBased/>
  <w15:docId w15:val="{1D6D6065-5D65-4021-A53E-BEC9E1FE7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2</cp:revision>
  <dcterms:created xsi:type="dcterms:W3CDTF">2022-07-25T08:52:00Z</dcterms:created>
  <dcterms:modified xsi:type="dcterms:W3CDTF">2022-07-25T09:44:00Z</dcterms:modified>
</cp:coreProperties>
</file>