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A86B3" w14:textId="7342AF67" w:rsidR="00060149" w:rsidRDefault="00BA213A">
      <w:r>
        <w:t xml:space="preserve">Titolo: </w:t>
      </w:r>
      <w:r w:rsidR="00C77C3D">
        <w:t xml:space="preserve">il CUP </w:t>
      </w:r>
      <w:r w:rsidR="00C77C3D">
        <w:t>quale</w:t>
      </w:r>
      <w:r w:rsidR="00C77C3D">
        <w:t xml:space="preserve"> </w:t>
      </w:r>
      <w:r w:rsidR="00C77C3D" w:rsidRPr="00B964FA">
        <w:t>credito privilegiato</w:t>
      </w:r>
      <w:r w:rsidR="00C77C3D">
        <w:t xml:space="preserve"> n</w:t>
      </w:r>
      <w:r w:rsidR="008D00E0">
        <w:t>ell’i</w:t>
      </w:r>
      <w:r w:rsidR="00B964FA" w:rsidRPr="00B964FA">
        <w:t xml:space="preserve">nsinuazione al passivo ex art. 2752 C.C.  </w:t>
      </w:r>
    </w:p>
    <w:p w14:paraId="7B66F257" w14:textId="5B6CE388" w:rsidR="00B964FA" w:rsidRDefault="00B964FA">
      <w:r>
        <w:t>di Alessandro Merciari</w:t>
      </w:r>
    </w:p>
    <w:p w14:paraId="72C59598" w14:textId="77777777" w:rsidR="00B964FA" w:rsidRDefault="00B964FA"/>
    <w:p w14:paraId="755A6267" w14:textId="02801F01" w:rsidR="00401CBE" w:rsidRDefault="008D00E0" w:rsidP="00E91DF8">
      <w:pPr>
        <w:jc w:val="both"/>
      </w:pPr>
      <w:r>
        <w:t>Nel</w:t>
      </w:r>
      <w:r w:rsidR="00401CBE">
        <w:t>l’ambito delle</w:t>
      </w:r>
      <w:r>
        <w:t xml:space="preserve"> procedure </w:t>
      </w:r>
      <w:r w:rsidR="00401CBE">
        <w:t>concorsuali gli</w:t>
      </w:r>
      <w:r>
        <w:t xml:space="preserve"> enti locali </w:t>
      </w:r>
      <w:r w:rsidR="00401CBE">
        <w:t xml:space="preserve">sono chiamati </w:t>
      </w:r>
      <w:r>
        <w:t xml:space="preserve">a </w:t>
      </w:r>
      <w:r w:rsidR="00401CBE">
        <w:t>presentare</w:t>
      </w:r>
      <w:r w:rsidR="00E91DF8">
        <w:t>,</w:t>
      </w:r>
      <w:r w:rsidR="00401CBE">
        <w:t xml:space="preserve"> </w:t>
      </w:r>
      <w:r w:rsidR="00E91DF8" w:rsidRPr="00E91DF8">
        <w:t>agli organi della procedura</w:t>
      </w:r>
      <w:r w:rsidR="00E91DF8">
        <w:t xml:space="preserve">, </w:t>
      </w:r>
      <w:r w:rsidR="00401CBE">
        <w:t xml:space="preserve">le proprie domande di insinuazione al passivo per vedere soddisfatti i propri crediti, </w:t>
      </w:r>
      <w:r w:rsidR="00E17A73">
        <w:t xml:space="preserve">sia </w:t>
      </w:r>
      <w:r w:rsidR="00401CBE">
        <w:t xml:space="preserve">di natura tributaria </w:t>
      </w:r>
      <w:r w:rsidR="00E17A73">
        <w:t>ch</w:t>
      </w:r>
      <w:r w:rsidR="00401CBE">
        <w:t xml:space="preserve">e di natura patrimoniale, nei confronti di quei soggetti </w:t>
      </w:r>
      <w:r w:rsidR="00E91DF8" w:rsidRPr="00E91DF8">
        <w:t>dichiarat</w:t>
      </w:r>
      <w:r w:rsidR="00E91DF8">
        <w:t>i</w:t>
      </w:r>
      <w:r w:rsidR="00E91DF8" w:rsidRPr="00E91DF8">
        <w:t xml:space="preserve"> insolvent</w:t>
      </w:r>
      <w:r w:rsidR="00E91DF8">
        <w:t>i</w:t>
      </w:r>
      <w:r w:rsidR="00E91DF8" w:rsidRPr="00E91DF8">
        <w:t xml:space="preserve"> e</w:t>
      </w:r>
      <w:r w:rsidR="00E91DF8">
        <w:t xml:space="preserve"> che sono stati</w:t>
      </w:r>
      <w:r w:rsidR="00E91DF8" w:rsidRPr="00E91DF8">
        <w:t xml:space="preserve"> ammess</w:t>
      </w:r>
      <w:r w:rsidR="00E91DF8">
        <w:t>i</w:t>
      </w:r>
      <w:r w:rsidR="00E91DF8" w:rsidRPr="00E91DF8">
        <w:t xml:space="preserve"> ad una</w:t>
      </w:r>
      <w:r w:rsidR="00E91DF8">
        <w:t xml:space="preserve"> specifica</w:t>
      </w:r>
      <w:r w:rsidR="00E91DF8" w:rsidRPr="00E91DF8">
        <w:t xml:space="preserve"> procedura concorsuale</w:t>
      </w:r>
      <w:r w:rsidR="00E91DF8">
        <w:t>.</w:t>
      </w:r>
    </w:p>
    <w:p w14:paraId="49BD3A9E" w14:textId="0689BEC3" w:rsidR="00401CBE" w:rsidRDefault="00E91DF8" w:rsidP="00E91DF8">
      <w:pPr>
        <w:jc w:val="both"/>
      </w:pPr>
      <w:r>
        <w:t>Vi</w:t>
      </w:r>
      <w:r w:rsidR="00401CBE">
        <w:t xml:space="preserve"> sono due tipologie di crediti</w:t>
      </w:r>
      <w:r>
        <w:t xml:space="preserve"> che possono essere ammessi</w:t>
      </w:r>
      <w:r w:rsidR="00401CBE">
        <w:t xml:space="preserve">, quelli privilegiati, </w:t>
      </w:r>
      <w:r w:rsidR="00401CBE" w:rsidRPr="00401CBE">
        <w:t>per via della natura preferenziale che hanno rispetto agli altri crediti</w:t>
      </w:r>
      <w:r w:rsidR="00401CBE">
        <w:t xml:space="preserve">, e quelli chirografari che possono essere soddisfatti solo dopo </w:t>
      </w:r>
      <w:r w:rsidR="00DA3D6A">
        <w:t>quelli privilegiati.</w:t>
      </w:r>
    </w:p>
    <w:p w14:paraId="79207471" w14:textId="63858C10" w:rsidR="00401CBE" w:rsidRDefault="00401CBE" w:rsidP="00E91DF8">
      <w:pPr>
        <w:jc w:val="both"/>
      </w:pPr>
      <w:r>
        <w:t>L</w:t>
      </w:r>
      <w:r w:rsidR="00DA3D6A">
        <w:t xml:space="preserve">’interrogativo </w:t>
      </w:r>
      <w:r>
        <w:t xml:space="preserve">che ci poniamo con l’odierno approfondimento riguarda la </w:t>
      </w:r>
      <w:r w:rsidR="00E91DF8">
        <w:t xml:space="preserve">tipologia di </w:t>
      </w:r>
      <w:r>
        <w:t>credito derivante dall’applicazione del Canone Unico ex comma 816 L. 160/2019.</w:t>
      </w:r>
      <w:r w:rsidR="00E91DF8">
        <w:t xml:space="preserve"> Possiamo considerarlo al pari delle entrate tributarie come credito privilegiato?</w:t>
      </w:r>
    </w:p>
    <w:p w14:paraId="6EA1EC75" w14:textId="660653D9" w:rsidR="00E91DF8" w:rsidRDefault="00DA3D6A" w:rsidP="00E91DF8">
      <w:pPr>
        <w:jc w:val="both"/>
      </w:pPr>
      <w:r>
        <w:t>La risposta non è semplice e</w:t>
      </w:r>
      <w:r w:rsidR="00E91DF8">
        <w:t xml:space="preserve"> ad oggi</w:t>
      </w:r>
      <w:r>
        <w:t xml:space="preserve"> </w:t>
      </w:r>
      <w:r w:rsidR="00E91DF8">
        <w:t xml:space="preserve">è ancora </w:t>
      </w:r>
      <w:r>
        <w:t xml:space="preserve">aperta a </w:t>
      </w:r>
      <w:r w:rsidR="00E91DF8">
        <w:t>soluzioni</w:t>
      </w:r>
      <w:r>
        <w:t xml:space="preserve"> </w:t>
      </w:r>
      <w:r w:rsidR="00E91DF8">
        <w:t xml:space="preserve">contrastanti, da una parte chi </w:t>
      </w:r>
      <w:r>
        <w:t>ipotizza una</w:t>
      </w:r>
      <w:r w:rsidR="00B964FA" w:rsidRPr="00B964FA">
        <w:t xml:space="preserve"> </w:t>
      </w:r>
      <w:r w:rsidR="00E91DF8">
        <w:t xml:space="preserve">natura privilegiata </w:t>
      </w:r>
      <w:r>
        <w:t>sostenuta in particolare da due sentenze di Corte di C</w:t>
      </w:r>
      <w:r w:rsidR="00B964FA" w:rsidRPr="00B964FA">
        <w:t>assazione</w:t>
      </w:r>
      <w:r>
        <w:t xml:space="preserve">, la </w:t>
      </w:r>
      <w:r w:rsidR="00F049D0">
        <w:t xml:space="preserve">numero </w:t>
      </w:r>
      <w:r w:rsidR="00F049D0" w:rsidRPr="00B964FA">
        <w:t>11930</w:t>
      </w:r>
      <w:r w:rsidR="00B964FA" w:rsidRPr="00B964FA">
        <w:t xml:space="preserve">/2010 </w:t>
      </w:r>
      <w:proofErr w:type="gramStart"/>
      <w:r w:rsidR="00B964FA" w:rsidRPr="00B964FA">
        <w:t xml:space="preserve">e </w:t>
      </w:r>
      <w:r>
        <w:t xml:space="preserve"> la</w:t>
      </w:r>
      <w:proofErr w:type="gramEnd"/>
      <w:r>
        <w:t xml:space="preserve"> </w:t>
      </w:r>
      <w:r w:rsidR="00B964FA" w:rsidRPr="00B964FA">
        <w:t>3134/2016</w:t>
      </w:r>
      <w:r w:rsidR="00E91DF8">
        <w:t xml:space="preserve">, dall’altra chi </w:t>
      </w:r>
      <w:r w:rsidR="00F049D0">
        <w:t xml:space="preserve">invece </w:t>
      </w:r>
      <w:r w:rsidR="00E91DF8">
        <w:t xml:space="preserve">segue invece  un </w:t>
      </w:r>
      <w:r w:rsidR="00DC6093">
        <w:t xml:space="preserve">orientamento restrittivo, </w:t>
      </w:r>
      <w:r w:rsidR="00E91DF8">
        <w:t xml:space="preserve">valutando </w:t>
      </w:r>
      <w:r w:rsidR="00DC6093">
        <w:t>la disposizione dell'articolo 2752</w:t>
      </w:r>
      <w:r w:rsidR="00E91DF8">
        <w:t xml:space="preserve"> come </w:t>
      </w:r>
      <w:r w:rsidR="00DC6093">
        <w:t>norma eccezionale di stretta interpretazione</w:t>
      </w:r>
      <w:r w:rsidR="00F049D0">
        <w:t xml:space="preserve">, </w:t>
      </w:r>
      <w:r w:rsidR="00E91DF8">
        <w:t xml:space="preserve">vedi </w:t>
      </w:r>
      <w:r w:rsidR="00F049D0">
        <w:t xml:space="preserve">sul tema anche la </w:t>
      </w:r>
      <w:r w:rsidR="00E91DF8">
        <w:t xml:space="preserve">sentenza di </w:t>
      </w:r>
      <w:r w:rsidR="00DC6093">
        <w:t xml:space="preserve">Cassazione </w:t>
      </w:r>
      <w:r w:rsidR="00E91DF8">
        <w:t>n.</w:t>
      </w:r>
      <w:r w:rsidR="00DC6093">
        <w:t xml:space="preserve">7309/2006. </w:t>
      </w:r>
    </w:p>
    <w:p w14:paraId="70AF3BA3" w14:textId="7ED05090" w:rsidR="00DC6093" w:rsidRDefault="00DC6093" w:rsidP="00E91DF8">
      <w:pPr>
        <w:jc w:val="both"/>
      </w:pPr>
      <w:r>
        <w:t xml:space="preserve">In altri termini, </w:t>
      </w:r>
      <w:r w:rsidR="00F049D0">
        <w:t xml:space="preserve">la posizione di chi ritiene esclusi dal privilegio i crediti CUP, ipotizza che </w:t>
      </w:r>
      <w:r>
        <w:t xml:space="preserve">la circostanza </w:t>
      </w:r>
      <w:r w:rsidR="00F049D0">
        <w:t xml:space="preserve">con la </w:t>
      </w:r>
      <w:proofErr w:type="gramStart"/>
      <w:r w:rsidR="00F049D0">
        <w:t xml:space="preserve">quale  </w:t>
      </w:r>
      <w:r>
        <w:t>il</w:t>
      </w:r>
      <w:proofErr w:type="gramEnd"/>
      <w:r>
        <w:t xml:space="preserve"> legislatore, nella norma in esame, </w:t>
      </w:r>
      <w:r w:rsidR="00F049D0">
        <w:t>ha</w:t>
      </w:r>
      <w:r>
        <w:t xml:space="preserve"> precisato l'estensione della prelazione a una specifica imposta comunale</w:t>
      </w:r>
      <w:r w:rsidR="00F049D0">
        <w:t>,</w:t>
      </w:r>
      <w:r>
        <w:t xml:space="preserve"> esclude che il precedente richiamo alla legge per la finanza locale possa di per sé valere a estendere il privilegio in parola a imposte, tasse o tributi dei comuni e delle province diverse da quelle ipotizzate (Cassazione 5246/1993)</w:t>
      </w:r>
      <w:r w:rsidR="00F049D0">
        <w:t xml:space="preserve">, con la conseguenza che </w:t>
      </w:r>
      <w:r>
        <w:t xml:space="preserve">ne </w:t>
      </w:r>
      <w:r w:rsidR="00F049D0">
        <w:t>verrebbero</w:t>
      </w:r>
      <w:r>
        <w:t xml:space="preserve"> esclus</w:t>
      </w:r>
      <w:r w:rsidR="00F049D0">
        <w:t>e</w:t>
      </w:r>
      <w:r>
        <w:t xml:space="preserve"> tasse diverse rispetto a quelle specificamente indicate</w:t>
      </w:r>
      <w:r w:rsidR="00F049D0">
        <w:t>.</w:t>
      </w:r>
    </w:p>
    <w:p w14:paraId="22ABD58A" w14:textId="3C072765" w:rsidR="00DC6093" w:rsidRPr="00F049D0" w:rsidRDefault="00F049D0" w:rsidP="00F049D0">
      <w:pPr>
        <w:jc w:val="both"/>
        <w:rPr>
          <w:i/>
          <w:iCs/>
        </w:rPr>
      </w:pPr>
      <w:r>
        <w:t>Invece, l</w:t>
      </w:r>
      <w:r w:rsidR="00DC6093">
        <w:t xml:space="preserve">'approdo ermeneutico della </w:t>
      </w:r>
      <w:r w:rsidR="00DC6093" w:rsidRPr="00F049D0">
        <w:rPr>
          <w:i/>
          <w:iCs/>
        </w:rPr>
        <w:t xml:space="preserve">ratio </w:t>
      </w:r>
      <w:proofErr w:type="spellStart"/>
      <w:r w:rsidR="00DC6093" w:rsidRPr="00F049D0">
        <w:rPr>
          <w:i/>
          <w:iCs/>
        </w:rPr>
        <w:t>decidendi</w:t>
      </w:r>
      <w:proofErr w:type="spellEnd"/>
      <w:r w:rsidR="00DC6093">
        <w:t xml:space="preserve"> della sentenza 11930/2010 in esame è sufficientemente condensato nell'enunciazione del seguente principio di diritto: </w:t>
      </w:r>
      <w:r w:rsidR="00DC6093" w:rsidRPr="00F049D0">
        <w:rPr>
          <w:i/>
          <w:iCs/>
        </w:rPr>
        <w:t>"Le norme del codice civile che stabiliscono i privilegi in favore di determinati crediti possono essere oggetto di interpretazione estensiva, la quale costituisce il risultato di un'operazione logica diretta ad individuare il reale significato e la portata effettiva della norma, che permette di determinare il suo esatto ambito di operatività, anche oltre il limite apparentemente segnato dalla sua formulazione testuale; e di identificare l'effettivo valore semantico della disposizione, tenendo conto dell'intenzione del legislatore, e soprattutto dalla "causa" del credito che, ai sensi dell'art. 2745 codice civile, rappresenta la ragione giustificatrice di qualsiasi privilegio. Con la conseguenza che il privilegio generale sui mobili istituito dall'art. 2752 codice civile, sui crediti per le imposte, tasse e tributi dei comuni previsti dalla legge per la finanza locale, deve essere riconosciuto anche per i crediti dei Comuni relativi all'imposta comunale sugli immobili (ICI) introdotta dal D. Lgs. n. 504 del 1992, pur se successiva e quindi non compresa tra i tributi contemplati dal R.D. n. 1175 del 1931".</w:t>
      </w:r>
    </w:p>
    <w:p w14:paraId="30B3D04E" w14:textId="1D58E6E0" w:rsidR="00105D31" w:rsidRDefault="00105D31" w:rsidP="00F049D0">
      <w:pPr>
        <w:jc w:val="both"/>
      </w:pPr>
      <w:r>
        <w:t>La Suprema Corte, dunque, ha sancito l'esigenza di andare oltre il mero dato letterale codicistico dell'art. 2752, co. 4, c.c. in modo da riconoscere il privilegio a tutte le principali fonti di finanziamento di Comuni e Province.</w:t>
      </w:r>
      <w:r w:rsidR="00F049D0">
        <w:t xml:space="preserve"> </w:t>
      </w:r>
      <w:r>
        <w:t>Questa interpretazione garantisce a tutti i crediti fiscali degli Enti Locali la predetta garanzia, al di là del loro mancato inserimento nel T.U. della Finanza locale, richiamato dal citato articolo del codice civile.</w:t>
      </w:r>
    </w:p>
    <w:p w14:paraId="2AC786E3" w14:textId="6FC4E34C" w:rsidR="00105D31" w:rsidRDefault="00105D31" w:rsidP="00F049D0">
      <w:pPr>
        <w:jc w:val="both"/>
      </w:pPr>
      <w:r>
        <w:t>Tale orientamento è stato infine confermato con l'art. 13, co. 13, del D.L. n. 201/11, convertito in L. n. 214/11, che ha introdotto la seguente norma di interpretazione autentica: "</w:t>
      </w:r>
      <w:r w:rsidRPr="00F049D0">
        <w:rPr>
          <w:i/>
          <w:iCs/>
        </w:rPr>
        <w:t xml:space="preserve">Ai fini del quarto comma dell'art. 2752 del </w:t>
      </w:r>
      <w:r w:rsidRPr="00F049D0">
        <w:rPr>
          <w:i/>
          <w:iCs/>
        </w:rPr>
        <w:lastRenderedPageBreak/>
        <w:t>codice civile il riferimento alla "legge per la finanza locale" si intende effettuato a tutte le disposizioni che disciplinano i singoli tributi comunali e provinciali".</w:t>
      </w:r>
      <w:r>
        <w:t xml:space="preserve"> </w:t>
      </w:r>
    </w:p>
    <w:p w14:paraId="4F4D0648" w14:textId="77777777" w:rsidR="00F049D0" w:rsidRDefault="00F049D0" w:rsidP="00F049D0">
      <w:pPr>
        <w:jc w:val="both"/>
      </w:pPr>
      <w:r>
        <w:t>Infine</w:t>
      </w:r>
      <w:r w:rsidR="00105D31">
        <w:t xml:space="preserve">, con </w:t>
      </w:r>
      <w:r>
        <w:t xml:space="preserve">la </w:t>
      </w:r>
      <w:proofErr w:type="gramStart"/>
      <w:r>
        <w:t xml:space="preserve">sentenza </w:t>
      </w:r>
      <w:r w:rsidR="00105D31">
        <w:t xml:space="preserve"> 3134</w:t>
      </w:r>
      <w:proofErr w:type="gramEnd"/>
      <w:r w:rsidR="00105D31">
        <w:t xml:space="preserve"> del 17.2.2016, la Cassazione ha affermato che l'espressione "legge per la finanza locale", contenuta nell'art. 2752 c.c. non va riferita ad una legge specifica istitutiva della singola imposta, bensì all'atto astrattamente generatore dell'imposizione. </w:t>
      </w:r>
    </w:p>
    <w:p w14:paraId="507610AC" w14:textId="7092EF21" w:rsidR="00F049D0" w:rsidRDefault="00E54D18" w:rsidP="00F049D0">
      <w:pPr>
        <w:jc w:val="both"/>
      </w:pPr>
      <w:r>
        <w:t>G</w:t>
      </w:r>
      <w:r w:rsidR="00985622">
        <w:t>razie a</w:t>
      </w:r>
      <w:r w:rsidR="00F049D0">
        <w:t xml:space="preserve"> questo orientamento si può legittimamente </w:t>
      </w:r>
      <w:r>
        <w:t>pensare</w:t>
      </w:r>
      <w:r w:rsidR="00F049D0">
        <w:t xml:space="preserve"> che il credito CUP possa </w:t>
      </w:r>
      <w:r w:rsidR="00105D31">
        <w:t>god</w:t>
      </w:r>
      <w:r w:rsidR="00F049D0">
        <w:t>ere</w:t>
      </w:r>
      <w:r w:rsidR="00105D31">
        <w:t xml:space="preserve"> del privilegio</w:t>
      </w:r>
      <w:r w:rsidR="00F049D0">
        <w:t xml:space="preserve"> nell’ambito della procedura di ripartizione</w:t>
      </w:r>
      <w:r>
        <w:t xml:space="preserve">, </w:t>
      </w:r>
      <w:r w:rsidR="00985622">
        <w:t xml:space="preserve">e </w:t>
      </w:r>
      <w:r w:rsidR="00E804A2">
        <w:t xml:space="preserve">in questo senso </w:t>
      </w:r>
      <w:r>
        <w:t xml:space="preserve">bene fanno </w:t>
      </w:r>
      <w:r w:rsidR="00985622">
        <w:t xml:space="preserve">gli Enti locali </w:t>
      </w:r>
      <w:r>
        <w:t xml:space="preserve">ad </w:t>
      </w:r>
      <w:r w:rsidR="00E804A2">
        <w:t xml:space="preserve"> </w:t>
      </w:r>
      <w:r w:rsidR="00985622">
        <w:t>inserirlo nelle richieste nella sezione dedicata ai crediti privilegiati, argomentando</w:t>
      </w:r>
      <w:r w:rsidR="00E804A2">
        <w:t>,</w:t>
      </w:r>
      <w:r w:rsidR="00985622">
        <w:t xml:space="preserve"> se ve ne fosse bisogno</w:t>
      </w:r>
      <w:r w:rsidR="00E804A2">
        <w:t>,</w:t>
      </w:r>
      <w:r w:rsidR="00985622">
        <w:t xml:space="preserve"> sulla </w:t>
      </w:r>
      <w:r w:rsidR="00E804A2">
        <w:t xml:space="preserve">propria </w:t>
      </w:r>
      <w:r w:rsidR="00985622">
        <w:t xml:space="preserve">legittimazione </w:t>
      </w:r>
      <w:r>
        <w:t>in quanto</w:t>
      </w:r>
      <w:r w:rsidR="00E804A2">
        <w:t xml:space="preserve"> crediti che rappresentano </w:t>
      </w:r>
      <w:r>
        <w:t xml:space="preserve">a pieno titolo </w:t>
      </w:r>
      <w:r w:rsidR="00985622" w:rsidRPr="00985622">
        <w:t xml:space="preserve">mezzi economici necessari per adempiere ai </w:t>
      </w:r>
      <w:r w:rsidR="00985622">
        <w:t>propri</w:t>
      </w:r>
      <w:r w:rsidR="00985622" w:rsidRPr="00985622">
        <w:t xml:space="preserve"> compiti istituzionali</w:t>
      </w:r>
      <w:r w:rsidR="00E804A2">
        <w:t xml:space="preserve"> e quindi meritevoli di privilegio nella procedura.</w:t>
      </w:r>
    </w:p>
    <w:sectPr w:rsidR="00F049D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43F"/>
    <w:rsid w:val="00060149"/>
    <w:rsid w:val="00105D31"/>
    <w:rsid w:val="00401CBE"/>
    <w:rsid w:val="008D00E0"/>
    <w:rsid w:val="00985622"/>
    <w:rsid w:val="00A454C1"/>
    <w:rsid w:val="00B964FA"/>
    <w:rsid w:val="00BA213A"/>
    <w:rsid w:val="00C77C3D"/>
    <w:rsid w:val="00DA3D6A"/>
    <w:rsid w:val="00DC6093"/>
    <w:rsid w:val="00DD643F"/>
    <w:rsid w:val="00E17A73"/>
    <w:rsid w:val="00E54D18"/>
    <w:rsid w:val="00E804A2"/>
    <w:rsid w:val="00E91DF8"/>
    <w:rsid w:val="00F049D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A2C6C"/>
  <w15:chartTrackingRefBased/>
  <w15:docId w15:val="{F67D94D7-94D9-4F75-88D2-3CC5E8411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207016">
      <w:bodyDiv w:val="1"/>
      <w:marLeft w:val="0"/>
      <w:marRight w:val="0"/>
      <w:marTop w:val="0"/>
      <w:marBottom w:val="0"/>
      <w:divBdr>
        <w:top w:val="none" w:sz="0" w:space="0" w:color="auto"/>
        <w:left w:val="none" w:sz="0" w:space="0" w:color="auto"/>
        <w:bottom w:val="none" w:sz="0" w:space="0" w:color="auto"/>
        <w:right w:val="none" w:sz="0" w:space="0" w:color="auto"/>
      </w:divBdr>
    </w:div>
    <w:div w:id="1755976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2</Pages>
  <Words>737</Words>
  <Characters>4205</Characters>
  <Application>Microsoft Office Word</Application>
  <DocSecurity>0</DocSecurity>
  <Lines>35</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14</cp:revision>
  <dcterms:created xsi:type="dcterms:W3CDTF">2024-02-19T07:03:00Z</dcterms:created>
  <dcterms:modified xsi:type="dcterms:W3CDTF">2024-03-23T14:40:00Z</dcterms:modified>
</cp:coreProperties>
</file>