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A150A" w14:textId="5C9BC6DF" w:rsidR="00060149" w:rsidRDefault="00367726">
      <w:r>
        <w:t xml:space="preserve">Titolo: </w:t>
      </w:r>
      <w:r w:rsidRPr="00367726">
        <w:t>il concetto di luogo aperto al pubblico nel presupposto CUP</w:t>
      </w:r>
    </w:p>
    <w:p w14:paraId="4F30F196" w14:textId="1514D3C1" w:rsidR="00367726" w:rsidRDefault="00367726">
      <w:r>
        <w:t>Di Alessandro Merciari</w:t>
      </w:r>
    </w:p>
    <w:p w14:paraId="7FFD0C09" w14:textId="77777777" w:rsidR="00367726" w:rsidRDefault="00367726"/>
    <w:p w14:paraId="6831A436" w14:textId="1A4A7B79" w:rsidR="005A2868" w:rsidRDefault="00010109" w:rsidP="00010109">
      <w:pPr>
        <w:jc w:val="both"/>
      </w:pPr>
      <w:r>
        <w:t>Con l’odierno approfondimento t</w:t>
      </w:r>
      <w:r w:rsidR="005A2868">
        <w:t>orniamo su una tematica particolare che attiene al presupposto applicativo della nuova entrata patrimoniale: l’importanza dei luoghi in cui avviene la diffusione di un messaggio pubblicitario.</w:t>
      </w:r>
    </w:p>
    <w:p w14:paraId="524869E6" w14:textId="75D8E707" w:rsidR="005A2868" w:rsidRDefault="005A2868" w:rsidP="00010109">
      <w:pPr>
        <w:jc w:val="both"/>
      </w:pPr>
      <w:r>
        <w:t>Tema già ampiamente dibattuto in materia di Imposta Comunale sulla Pubblicità, l’entrata sostituita dall’odierno canone sulla quale</w:t>
      </w:r>
      <w:r w:rsidR="00C15A22">
        <w:t xml:space="preserve"> il CUP,</w:t>
      </w:r>
      <w:r>
        <w:t xml:space="preserve"> </w:t>
      </w:r>
      <w:r w:rsidR="00010109">
        <w:t>come sappiamo</w:t>
      </w:r>
      <w:r w:rsidR="00C15A22">
        <w:t>,</w:t>
      </w:r>
      <w:r w:rsidR="00010109">
        <w:t xml:space="preserve"> </w:t>
      </w:r>
      <w:r>
        <w:t>affonda le proprie radici.</w:t>
      </w:r>
    </w:p>
    <w:p w14:paraId="517DB281" w14:textId="360755A8" w:rsidR="00367726" w:rsidRDefault="005A2868" w:rsidP="005A2868">
      <w:pPr>
        <w:jc w:val="both"/>
        <w:rPr>
          <w:i/>
          <w:iCs/>
        </w:rPr>
      </w:pPr>
      <w:r>
        <w:t xml:space="preserve">Ai sensi del comma 819 lettera B articolo 1 Legge 160/2019 rientrano nel presupposto applicativo del CUP: </w:t>
      </w:r>
      <w:r w:rsidRPr="005A2868">
        <w:rPr>
          <w:i/>
          <w:iCs/>
        </w:rPr>
        <w:t xml:space="preserve">“la diffusione di messaggi pubblicitari, anche abusiva, mediante impianti installati su aree appartenenti al demanio o al patrimonio indisponibile degli enti, su beni privati </w:t>
      </w:r>
      <w:r w:rsidRPr="00010109">
        <w:rPr>
          <w:i/>
          <w:iCs/>
          <w:u w:val="single"/>
        </w:rPr>
        <w:t>laddove siano visibili da luogo pubblico o aperto al pubblico del territorio comunale</w:t>
      </w:r>
      <w:r w:rsidRPr="005A2868">
        <w:rPr>
          <w:i/>
          <w:iCs/>
        </w:rPr>
        <w:t>, ovvero all’esterno di veicoli adibiti a uso pubblico o a uso privato”.</w:t>
      </w:r>
    </w:p>
    <w:p w14:paraId="3C9EC0A2" w14:textId="33CC83BD" w:rsidR="005A2868" w:rsidRDefault="005A2868" w:rsidP="005A2868">
      <w:pPr>
        <w:jc w:val="both"/>
      </w:pPr>
      <w:r>
        <w:t xml:space="preserve">È pertanto dirimente capire quali sono i luoghi di esposizione </w:t>
      </w:r>
      <w:r w:rsidR="00010109">
        <w:t xml:space="preserve">da cui sono visibili i messaggi pubblicitari, </w:t>
      </w:r>
      <w:r>
        <w:t>che portano a realizzare il</w:t>
      </w:r>
      <w:r w:rsidR="009B536B">
        <w:t xml:space="preserve"> </w:t>
      </w:r>
      <w:r>
        <w:t xml:space="preserve">presupposto applicativo del canone. Possiamo in questo senso considerare: </w:t>
      </w:r>
      <w:r w:rsidRPr="009B536B">
        <w:rPr>
          <w:b/>
          <w:bCs/>
        </w:rPr>
        <w:t>luogo pubblico</w:t>
      </w:r>
      <w:r>
        <w:t>, ovvero quello accessibile in qualsiasi momento a tutti senza alcuna limitazione</w:t>
      </w:r>
      <w:r w:rsidR="009B536B">
        <w:t xml:space="preserve"> </w:t>
      </w:r>
      <w:r>
        <w:t>e condizione</w:t>
      </w:r>
      <w:r w:rsidR="009B536B" w:rsidRPr="009B536B">
        <w:rPr>
          <w:b/>
          <w:bCs/>
        </w:rPr>
        <w:t xml:space="preserve">, </w:t>
      </w:r>
      <w:r w:rsidRPr="009B536B">
        <w:rPr>
          <w:b/>
          <w:bCs/>
        </w:rPr>
        <w:t>luogo aperto al pubblico</w:t>
      </w:r>
      <w:r>
        <w:t>, ovvero quello al quale è consentito l’accesso solo in determinati</w:t>
      </w:r>
      <w:r w:rsidR="009B536B">
        <w:t xml:space="preserve"> </w:t>
      </w:r>
      <w:r>
        <w:t>momenti. In questo senso rientra ad esempio anche un'area privata accessibile durante il</w:t>
      </w:r>
      <w:r w:rsidR="009B536B">
        <w:t xml:space="preserve"> </w:t>
      </w:r>
      <w:r>
        <w:t>giorno da un numero indeterminato di persone</w:t>
      </w:r>
      <w:r w:rsidR="009B536B">
        <w:t xml:space="preserve">, </w:t>
      </w:r>
      <w:r w:rsidRPr="009B536B">
        <w:rPr>
          <w:b/>
          <w:bCs/>
        </w:rPr>
        <w:t>luogo esposto al pubblico</w:t>
      </w:r>
      <w:r>
        <w:t>, ovvero un luogo privato ne quale non è ammesso il pubblico, ma</w:t>
      </w:r>
      <w:r w:rsidR="009B536B">
        <w:t xml:space="preserve"> </w:t>
      </w:r>
      <w:r>
        <w:t>situato tuttavia in modo tale da consentire di vedere o sentire ciò che in esso si trova o avviene.</w:t>
      </w:r>
    </w:p>
    <w:p w14:paraId="2C085EE0" w14:textId="73D19E53" w:rsidR="009B536B" w:rsidRDefault="00C15A22" w:rsidP="005A2868">
      <w:pPr>
        <w:jc w:val="both"/>
      </w:pPr>
      <w:r>
        <w:t>Sul concetto di esposizione effettuata in luogo pubblico o visibile da luogo pubblico non c</w:t>
      </w:r>
      <w:r w:rsidR="001B290B">
        <w:t>i sono dubbi interpretativi, m</w:t>
      </w:r>
      <w:r w:rsidR="00010109">
        <w:t xml:space="preserve">a in quali occasioni </w:t>
      </w:r>
      <w:r w:rsidR="009B536B">
        <w:t>si può parlare, ai fini della formazione del presupposto CUP, di luogo aperto al pubblico</w:t>
      </w:r>
      <w:r w:rsidR="00010109">
        <w:t>?</w:t>
      </w:r>
    </w:p>
    <w:p w14:paraId="013D8B90" w14:textId="496E7F30" w:rsidR="009B536B" w:rsidRDefault="009B536B" w:rsidP="009B536B">
      <w:pPr>
        <w:jc w:val="both"/>
      </w:pPr>
      <w:r>
        <w:t xml:space="preserve">Ci viene in aiuto la </w:t>
      </w:r>
      <w:r w:rsidR="00C003D4">
        <w:t xml:space="preserve">copiosa </w:t>
      </w:r>
      <w:r>
        <w:t xml:space="preserve">giurisprudenza formatasi in ambito </w:t>
      </w:r>
      <w:r w:rsidR="00010109">
        <w:t>di Imposta sulla Pubblicità</w:t>
      </w:r>
      <w:r>
        <w:t xml:space="preserve">, </w:t>
      </w:r>
      <w:r w:rsidR="00010109">
        <w:t xml:space="preserve">con la quale si </w:t>
      </w:r>
      <w:r w:rsidR="00C003D4">
        <w:t>era</w:t>
      </w:r>
      <w:r w:rsidR="00010109">
        <w:t xml:space="preserve"> </w:t>
      </w:r>
      <w:r w:rsidR="00824003">
        <w:t>diffuso</w:t>
      </w:r>
      <w:r w:rsidR="00010109">
        <w:t xml:space="preserve"> un orientamento </w:t>
      </w:r>
      <w:r>
        <w:t>a partire dalla sentenza di Corte di Cassazione numero 1930 del 1990</w:t>
      </w:r>
      <w:r w:rsidR="00C003D4">
        <w:t>, costantemente richiamata nelle ordinanze emesse negli anni successivi.</w:t>
      </w:r>
      <w:r w:rsidR="002C50F9">
        <w:t xml:space="preserve"> </w:t>
      </w:r>
    </w:p>
    <w:p w14:paraId="66126B1A" w14:textId="5B5D1CF5" w:rsidR="002C50F9" w:rsidRDefault="002C50F9" w:rsidP="002C50F9">
      <w:pPr>
        <w:jc w:val="both"/>
      </w:pPr>
      <w:r>
        <w:t xml:space="preserve">La sentenza </w:t>
      </w:r>
      <w:r w:rsidR="00C003D4" w:rsidRPr="00C003D4">
        <w:rPr>
          <w:i/>
          <w:iCs/>
        </w:rPr>
        <w:t>madre</w:t>
      </w:r>
      <w:r w:rsidR="00C003D4">
        <w:rPr>
          <w:i/>
          <w:iCs/>
        </w:rPr>
        <w:t xml:space="preserve"> </w:t>
      </w:r>
      <w:r w:rsidR="00C003D4">
        <w:t xml:space="preserve">risalente ormai al secolo scorso ma ancora attualissima, </w:t>
      </w:r>
      <w:r>
        <w:t>affrontava un contenzioso basato sulla formazione del presupposto pubblicitario in merito all’esposizione di un</w:t>
      </w:r>
      <w:r w:rsidR="00C003D4">
        <w:t xml:space="preserve">a targa </w:t>
      </w:r>
      <w:r>
        <w:t xml:space="preserve">esposta nel cortile interno di un fabbricato, </w:t>
      </w:r>
      <w:r w:rsidR="00C003D4">
        <w:t xml:space="preserve">dove a detta del ricorrente </w:t>
      </w:r>
      <w:r>
        <w:t>sarebbe stato falsato il concetto di "luogo aperto al pubblico".</w:t>
      </w:r>
    </w:p>
    <w:p w14:paraId="5D7EFDA5" w14:textId="7A41119A" w:rsidR="002C50F9" w:rsidRDefault="002C50F9" w:rsidP="002C50F9">
      <w:pPr>
        <w:jc w:val="both"/>
      </w:pPr>
      <w:proofErr w:type="gramStart"/>
      <w:r>
        <w:t>I giudice</w:t>
      </w:r>
      <w:proofErr w:type="gramEnd"/>
      <w:r>
        <w:t xml:space="preserve"> ritennero infondato il motivo di doglianza in quanto, l’allora vigente art. 6 del D.P.R. 26 ottobre 1972, n. 639 </w:t>
      </w:r>
      <w:r w:rsidR="004F15B7">
        <w:t xml:space="preserve">in tema di prelievo sulla pubblicità, </w:t>
      </w:r>
      <w:r w:rsidR="00C003D4">
        <w:t>prescriveva l’applicabilità</w:t>
      </w:r>
      <w:r>
        <w:t xml:space="preserve"> </w:t>
      </w:r>
      <w:r w:rsidR="00C003D4">
        <w:t>dell’imposta</w:t>
      </w:r>
      <w:r>
        <w:t xml:space="preserve"> per i casi in cui il mezzo</w:t>
      </w:r>
      <w:r w:rsidR="004F15B7">
        <w:t xml:space="preserve"> </w:t>
      </w:r>
      <w:r>
        <w:t xml:space="preserve">pubblicitario </w:t>
      </w:r>
      <w:r w:rsidR="004F15B7">
        <w:t>fosse</w:t>
      </w:r>
      <w:r>
        <w:t xml:space="preserve"> esposto o effettuato " in luoghi pubblici o aperti al pubblico o comunque da tali</w:t>
      </w:r>
      <w:r w:rsidR="004F15B7">
        <w:t xml:space="preserve"> </w:t>
      </w:r>
      <w:r>
        <w:t>luoghi percepibili".</w:t>
      </w:r>
    </w:p>
    <w:p w14:paraId="382CCABF" w14:textId="22779106" w:rsidR="002C50F9" w:rsidRPr="004F15B7" w:rsidRDefault="004F15B7" w:rsidP="002C50F9">
      <w:pPr>
        <w:jc w:val="both"/>
        <w:rPr>
          <w:i/>
          <w:iCs/>
        </w:rPr>
      </w:pPr>
      <w:r w:rsidRPr="004F15B7">
        <w:t>Nella sentenza si legge:</w:t>
      </w:r>
      <w:r>
        <w:rPr>
          <w:i/>
          <w:iCs/>
        </w:rPr>
        <w:t xml:space="preserve"> “</w:t>
      </w:r>
      <w:r w:rsidR="002C50F9" w:rsidRPr="004F15B7">
        <w:rPr>
          <w:i/>
          <w:iCs/>
        </w:rPr>
        <w:t>È chiaro, dall'esegesi della norma, che la legge ha voluto sottoporre a tassazione l'attività di chi, con i</w:t>
      </w:r>
      <w:r w:rsidRPr="004F15B7">
        <w:rPr>
          <w:i/>
          <w:iCs/>
        </w:rPr>
        <w:t xml:space="preserve"> </w:t>
      </w:r>
      <w:r w:rsidR="002C50F9" w:rsidRPr="004F15B7">
        <w:rPr>
          <w:i/>
          <w:iCs/>
        </w:rPr>
        <w:t>mezzi di cui si è detto precedentemente, intenda far pervenire ad altri un messaggio avente finalità</w:t>
      </w:r>
      <w:r w:rsidRPr="004F15B7">
        <w:rPr>
          <w:i/>
          <w:iCs/>
        </w:rPr>
        <w:t xml:space="preserve"> </w:t>
      </w:r>
      <w:r w:rsidR="002C50F9" w:rsidRPr="004F15B7">
        <w:rPr>
          <w:i/>
          <w:iCs/>
        </w:rPr>
        <w:t>"pubblicitarie" (in senso lato, come pure si è detto); e a tal fine ha previsto che l'attività è tassabile se</w:t>
      </w:r>
      <w:r w:rsidRPr="004F15B7">
        <w:rPr>
          <w:i/>
          <w:iCs/>
        </w:rPr>
        <w:t xml:space="preserve"> </w:t>
      </w:r>
      <w:r w:rsidR="002C50F9" w:rsidRPr="004F15B7">
        <w:rPr>
          <w:i/>
          <w:iCs/>
        </w:rPr>
        <w:t>viene svolta in luogo pubblico o aperto al pubblico, ovvero in un luogo che da quelli è percepibile. È</w:t>
      </w:r>
      <w:r w:rsidRPr="004F15B7">
        <w:rPr>
          <w:i/>
          <w:iCs/>
        </w:rPr>
        <w:t xml:space="preserve"> </w:t>
      </w:r>
      <w:r w:rsidR="002C50F9" w:rsidRPr="004F15B7">
        <w:rPr>
          <w:i/>
          <w:iCs/>
        </w:rPr>
        <w:t>chiaro, cioè, che il legislatore ha presunto che il messaggio pubblicitario abbia dei possibili</w:t>
      </w:r>
      <w:r w:rsidRPr="004F15B7">
        <w:rPr>
          <w:i/>
          <w:iCs/>
        </w:rPr>
        <w:t xml:space="preserve"> </w:t>
      </w:r>
      <w:r w:rsidR="002C50F9" w:rsidRPr="004F15B7">
        <w:rPr>
          <w:i/>
          <w:iCs/>
        </w:rPr>
        <w:t>destinatari se viene lanciato da uno dei detti luoghi o in direzione di essi; ed è incontestabile, allora,</w:t>
      </w:r>
      <w:r w:rsidRPr="004F15B7">
        <w:rPr>
          <w:i/>
          <w:iCs/>
        </w:rPr>
        <w:t xml:space="preserve"> </w:t>
      </w:r>
      <w:r w:rsidR="002C50F9" w:rsidRPr="004F15B7">
        <w:rPr>
          <w:i/>
          <w:iCs/>
        </w:rPr>
        <w:t xml:space="preserve">che </w:t>
      </w:r>
      <w:r w:rsidR="002C50F9" w:rsidRPr="00C003D4">
        <w:rPr>
          <w:i/>
          <w:iCs/>
          <w:u w:val="single"/>
        </w:rPr>
        <w:t xml:space="preserve">il presupposto </w:t>
      </w:r>
      <w:r w:rsidRPr="00C003D4">
        <w:rPr>
          <w:i/>
          <w:iCs/>
          <w:u w:val="single"/>
        </w:rPr>
        <w:t>dell’imponibilità</w:t>
      </w:r>
      <w:r w:rsidR="002C50F9" w:rsidRPr="00C003D4">
        <w:rPr>
          <w:i/>
          <w:iCs/>
          <w:u w:val="single"/>
        </w:rPr>
        <w:t xml:space="preserve"> va ricercato nell'astratta possibilità del messaggio, in rapporto</w:t>
      </w:r>
      <w:r w:rsidRPr="00C003D4">
        <w:rPr>
          <w:i/>
          <w:iCs/>
          <w:u w:val="single"/>
        </w:rPr>
        <w:t xml:space="preserve"> </w:t>
      </w:r>
      <w:r w:rsidR="002C50F9" w:rsidRPr="00C003D4">
        <w:rPr>
          <w:i/>
          <w:iCs/>
          <w:u w:val="single"/>
        </w:rPr>
        <w:t>all'ubicazione, di avere un numero indeterminato di destinatari, che diventano tali solo perché</w:t>
      </w:r>
      <w:r w:rsidRPr="00C003D4">
        <w:rPr>
          <w:i/>
          <w:iCs/>
          <w:u w:val="single"/>
        </w:rPr>
        <w:t xml:space="preserve"> </w:t>
      </w:r>
      <w:r w:rsidR="002C50F9" w:rsidRPr="00C003D4">
        <w:rPr>
          <w:i/>
          <w:iCs/>
          <w:u w:val="single"/>
        </w:rPr>
        <w:t>vengono a trovarsi in quel luogo determinato.</w:t>
      </w:r>
    </w:p>
    <w:p w14:paraId="7CF1554E" w14:textId="11C31563" w:rsidR="002C50F9" w:rsidRPr="00C003D4" w:rsidRDefault="002C50F9" w:rsidP="002C50F9">
      <w:pPr>
        <w:jc w:val="both"/>
        <w:rPr>
          <w:i/>
          <w:iCs/>
        </w:rPr>
      </w:pPr>
      <w:r>
        <w:t>Ora, nel caso concreto, la targa era esposta in luogo sicuramente privato, ma che i giudici di merito -</w:t>
      </w:r>
      <w:r w:rsidR="004F15B7">
        <w:t xml:space="preserve"> </w:t>
      </w:r>
      <w:r>
        <w:t>con giudizio di fatto adeguatamente motivato - hanno definito "aperto al pubblico", perché in esso</w:t>
      </w:r>
      <w:r w:rsidR="004F15B7">
        <w:t xml:space="preserve"> </w:t>
      </w:r>
      <w:r>
        <w:t>poteva accedere un numero indeterminato di persone. Ed è proprio quest'ultima l'affermazione che il</w:t>
      </w:r>
      <w:r w:rsidR="004F15B7">
        <w:t xml:space="preserve"> </w:t>
      </w:r>
      <w:r>
        <w:t xml:space="preserve">ricorrente si </w:t>
      </w:r>
      <w:r>
        <w:lastRenderedPageBreak/>
        <w:t>sforza di censurare, addirittura rappresentando come delitto di violazione di domicilio</w:t>
      </w:r>
      <w:r w:rsidR="004F15B7">
        <w:t xml:space="preserve"> </w:t>
      </w:r>
      <w:r w:rsidR="00C003D4">
        <w:t>l’ingresso</w:t>
      </w:r>
      <w:r>
        <w:t xml:space="preserve"> degli "estranei" nel cortile dov'era apposta la targa. Ma siffatta prospettazione urta contro</w:t>
      </w:r>
      <w:r w:rsidR="00C003D4">
        <w:t xml:space="preserve"> </w:t>
      </w:r>
      <w:r>
        <w:t>una motivata valutazione di merito, ancorata peraltro "all' istruttoria espletata in primo grado", la</w:t>
      </w:r>
      <w:r w:rsidR="004F15B7">
        <w:t xml:space="preserve"> </w:t>
      </w:r>
      <w:r>
        <w:t xml:space="preserve">quale è compendiata nell'affermazione che </w:t>
      </w:r>
      <w:r w:rsidRPr="00C003D4">
        <w:rPr>
          <w:i/>
          <w:iCs/>
        </w:rPr>
        <w:t>"si tratta di un ampio cortile interno al quale si accede per</w:t>
      </w:r>
      <w:r w:rsidR="004F15B7" w:rsidRPr="00C003D4">
        <w:rPr>
          <w:i/>
          <w:iCs/>
        </w:rPr>
        <w:t xml:space="preserve"> </w:t>
      </w:r>
      <w:r w:rsidRPr="00C003D4">
        <w:rPr>
          <w:i/>
          <w:iCs/>
        </w:rPr>
        <w:t>mezzo di due grandi portoni che si aprono alle estremità del lato adiacente il muro perimetrale sulla</w:t>
      </w:r>
      <w:r w:rsidR="004F15B7" w:rsidRPr="00C003D4">
        <w:rPr>
          <w:i/>
          <w:iCs/>
        </w:rPr>
        <w:t xml:space="preserve"> </w:t>
      </w:r>
      <w:r w:rsidRPr="00C003D4">
        <w:rPr>
          <w:i/>
          <w:iCs/>
        </w:rPr>
        <w:t>strada. Lungo gli altri tre lati del cortile si aprono a brevissimi intervalli gli ingressi di studi</w:t>
      </w:r>
      <w:r w:rsidR="004F15B7" w:rsidRPr="00C003D4">
        <w:rPr>
          <w:i/>
          <w:iCs/>
        </w:rPr>
        <w:t xml:space="preserve"> </w:t>
      </w:r>
      <w:r w:rsidRPr="00C003D4">
        <w:rPr>
          <w:i/>
          <w:iCs/>
        </w:rPr>
        <w:t>professionali di vario genere, oltreché alcune scalinate che adducono ai piani superiori. Dalla</w:t>
      </w:r>
      <w:r w:rsidR="004F15B7" w:rsidRPr="00C003D4">
        <w:rPr>
          <w:i/>
          <w:iCs/>
        </w:rPr>
        <w:t xml:space="preserve"> </w:t>
      </w:r>
      <w:r w:rsidRPr="00C003D4">
        <w:rPr>
          <w:i/>
          <w:iCs/>
        </w:rPr>
        <w:t>istruttoria espletata in primo grado è risultato che i portoni vengono chiusi solo di notte, di modo</w:t>
      </w:r>
      <w:r w:rsidR="00C003D4">
        <w:rPr>
          <w:i/>
          <w:iCs/>
        </w:rPr>
        <w:t xml:space="preserve"> </w:t>
      </w:r>
      <w:r w:rsidRPr="00C003D4">
        <w:rPr>
          <w:i/>
          <w:iCs/>
        </w:rPr>
        <w:t>che, durante il giorno il cortile diviene una propaggine della strada, essendo frequentato da quel</w:t>
      </w:r>
      <w:r w:rsidR="00C003D4">
        <w:rPr>
          <w:i/>
          <w:iCs/>
        </w:rPr>
        <w:t xml:space="preserve"> </w:t>
      </w:r>
      <w:r w:rsidRPr="00C003D4">
        <w:rPr>
          <w:i/>
          <w:iCs/>
        </w:rPr>
        <w:t>numero indeterminato di persone che debbono reperire e raggiungere i numerosi studi professionali</w:t>
      </w:r>
      <w:r w:rsidR="00C003D4">
        <w:rPr>
          <w:i/>
          <w:iCs/>
        </w:rPr>
        <w:t xml:space="preserve"> </w:t>
      </w:r>
      <w:r w:rsidRPr="00C003D4">
        <w:rPr>
          <w:i/>
          <w:iCs/>
        </w:rPr>
        <w:t>che vi si aprono".</w:t>
      </w:r>
    </w:p>
    <w:p w14:paraId="534DF2BC" w14:textId="4D1B0FB8" w:rsidR="002C50F9" w:rsidRDefault="00C003D4" w:rsidP="002C50F9">
      <w:pPr>
        <w:jc w:val="both"/>
      </w:pPr>
      <w:r>
        <w:t xml:space="preserve">I giudici chiarirono che: </w:t>
      </w:r>
      <w:r w:rsidRPr="00C003D4">
        <w:rPr>
          <w:i/>
          <w:iCs/>
        </w:rPr>
        <w:t>“</w:t>
      </w:r>
      <w:r w:rsidR="002C50F9" w:rsidRPr="00C003D4">
        <w:rPr>
          <w:i/>
          <w:iCs/>
        </w:rPr>
        <w:t>La targa indicativa, cioè, non adempie in concreto al</w:t>
      </w:r>
      <w:r w:rsidRPr="00C003D4">
        <w:rPr>
          <w:i/>
          <w:iCs/>
        </w:rPr>
        <w:t xml:space="preserve"> </w:t>
      </w:r>
      <w:r w:rsidR="002C50F9" w:rsidRPr="00C003D4">
        <w:rPr>
          <w:i/>
          <w:iCs/>
        </w:rPr>
        <w:t>solo fine di indirizzare nel giusto ingresso le persone che nel cortile si recano per accedere proprio</w:t>
      </w:r>
      <w:r w:rsidRPr="00C003D4">
        <w:rPr>
          <w:i/>
          <w:iCs/>
        </w:rPr>
        <w:t xml:space="preserve"> </w:t>
      </w:r>
      <w:r w:rsidR="002C50F9" w:rsidRPr="00C003D4">
        <w:rPr>
          <w:i/>
          <w:iCs/>
        </w:rPr>
        <w:t>allo studio legale indicato dalla targa medesima, ma anche a quello di rendere nota quella "presenza"</w:t>
      </w:r>
      <w:r w:rsidRPr="00C003D4">
        <w:rPr>
          <w:i/>
          <w:iCs/>
        </w:rPr>
        <w:t xml:space="preserve"> </w:t>
      </w:r>
      <w:r w:rsidR="002C50F9" w:rsidRPr="00C003D4">
        <w:rPr>
          <w:i/>
          <w:iCs/>
        </w:rPr>
        <w:t>alle persone che ivi accedono per altri fini.</w:t>
      </w:r>
      <w:r w:rsidRPr="00C003D4">
        <w:rPr>
          <w:i/>
          <w:iCs/>
        </w:rPr>
        <w:t xml:space="preserve"> </w:t>
      </w:r>
      <w:r w:rsidR="002C50F9" w:rsidRPr="00C003D4">
        <w:rPr>
          <w:i/>
          <w:iCs/>
        </w:rPr>
        <w:t>Ed è proprio in questo che consiste il presupposto dell'imponibilità.</w:t>
      </w:r>
      <w:r w:rsidRPr="00C003D4">
        <w:rPr>
          <w:i/>
          <w:iCs/>
        </w:rPr>
        <w:t>”</w:t>
      </w:r>
    </w:p>
    <w:p w14:paraId="5E8E3FDF" w14:textId="77777777" w:rsidR="00C003D4" w:rsidRDefault="00C003D4" w:rsidP="00D36021">
      <w:pPr>
        <w:jc w:val="both"/>
      </w:pPr>
      <w:r>
        <w:t>Da questi concetti così chiari e netti dobbiamo costruire, nei singoli casi che si prospettano agli uffici, il formarsi del presupposto applicativo dell’odierno canone.</w:t>
      </w:r>
    </w:p>
    <w:p w14:paraId="3DE0D201" w14:textId="1322AFBE" w:rsidR="00D36021" w:rsidRDefault="00D36021" w:rsidP="00D36021">
      <w:pPr>
        <w:jc w:val="both"/>
      </w:pPr>
      <w:r>
        <w:t>Si segnala sul tema</w:t>
      </w:r>
      <w:r w:rsidR="00C003D4">
        <w:t xml:space="preserve">, oltre </w:t>
      </w:r>
      <w:proofErr w:type="spellStart"/>
      <w:r w:rsidR="00C003D4">
        <w:t>alla</w:t>
      </w:r>
      <w:proofErr w:type="spellEnd"/>
      <w:r w:rsidR="00C003D4">
        <w:t xml:space="preserve"> sentenza della Cassazione n. 1930 del 1990,</w:t>
      </w:r>
      <w:r>
        <w:t xml:space="preserve"> anche una vecchia, ma attuale risoluzione del Dipartimento Entrate Fiscalità Locale datata 05 giugno 1995 rubricata al numero 146, che rispondeva proprio ad un quesito posto sulla definizione di luoghi di diffusone, in materia di ICP, la cui disciplina, sullo specifico argomento, è stata, come detto, ripresa integralmente da quella prevista in materia di Canone Unico. Nella risoluzione si richiamava proprio la formazione del presupposto per esposizioni realizzate in aree private intese come luoghi aperti al pubblico.</w:t>
      </w:r>
    </w:p>
    <w:p w14:paraId="3A433066" w14:textId="4C16349D" w:rsidR="00D36021" w:rsidRDefault="00824003" w:rsidP="00D36021">
      <w:pPr>
        <w:jc w:val="both"/>
      </w:pPr>
      <w:r>
        <w:t xml:space="preserve">Tornando alla giurisprudenza di </w:t>
      </w:r>
      <w:r w:rsidR="00D36021">
        <w:t xml:space="preserve"> Cassazione</w:t>
      </w:r>
      <w:r>
        <w:t xml:space="preserve">, è utile sottolineare come </w:t>
      </w:r>
      <w:r w:rsidR="00D36021">
        <w:t xml:space="preserve"> in più occasioni </w:t>
      </w:r>
      <w:r>
        <w:t>abbia</w:t>
      </w:r>
      <w:r w:rsidR="00D36021">
        <w:t xml:space="preserve"> affermato Il principio secondo il quale sono da considerare mezzi pubblicitari, e sono quindi assoggettate al canone, le targhe e le insegne che rechino dei messaggi pubblicitari tali da sollecitare la domanda di beni e servizi, con la conseguenza che il presupposto d'imponibilità, va ricercato nell'astratta possibilità che il messaggio, in rapporto all'ubicazione del mezzo, possa avere un numero indeterminato di destinatari, che diventano tali solo perché vengono a trovarsi in un luogo determinato</w:t>
      </w:r>
      <w:r w:rsidR="00010109">
        <w:t>.</w:t>
      </w:r>
    </w:p>
    <w:p w14:paraId="3FD147EC" w14:textId="12944881" w:rsidR="00010109" w:rsidRDefault="00010109" w:rsidP="00D36021">
      <w:pPr>
        <w:jc w:val="both"/>
      </w:pPr>
      <w:r>
        <w:lastRenderedPageBreak/>
        <w:t xml:space="preserve">Questo è </w:t>
      </w:r>
      <w:r w:rsidR="007B5378">
        <w:t>il</w:t>
      </w:r>
      <w:r>
        <w:t xml:space="preserve"> percorso</w:t>
      </w:r>
      <w:r w:rsidR="007B5378">
        <w:t xml:space="preserve"> logico</w:t>
      </w:r>
      <w:r>
        <w:t xml:space="preserve"> a cui fare affidamento tutte le volte che ci troviamo nel dubbio se considerare l’esposizione di una insegna</w:t>
      </w:r>
      <w:r w:rsidR="007B5378">
        <w:t xml:space="preserve"> possa effettivamente essere destinata a generare richiamo nei confronti di un pubblico.</w:t>
      </w:r>
    </w:p>
    <w:p w14:paraId="7B3D352C" w14:textId="39132CDA" w:rsidR="00D36021" w:rsidRDefault="00D36021" w:rsidP="00D36021">
      <w:pPr>
        <w:jc w:val="both"/>
      </w:pPr>
      <w:r>
        <w:t xml:space="preserve">La Corte di Cassazione con la sentenza n. 15654 del 2004, si era pronunciata prevedendo che: </w:t>
      </w:r>
      <w:r w:rsidRPr="00D36021">
        <w:rPr>
          <w:i/>
          <w:iCs/>
        </w:rPr>
        <w:t>“qualsiasi mezzo di comunicazione con il pubblico, il quale risulti - indipendentemente dalla ragione e finalità della sua adozione - obbiettivamente idoneo a far conoscere indiscriminatamente alla massa indeterminata di possibili acquirenti ed utenti il nome, l'attività ed il prodotto di una azienda, è soggetta ad imposta sulla pubblicità, restando irrilevante che detto mezzo di comunicazione assolva pure una funzione reclamistica o propagandistica.”</w:t>
      </w:r>
    </w:p>
    <w:p w14:paraId="02DE4EF2" w14:textId="34926DB9" w:rsidR="00D36021" w:rsidRDefault="00884087" w:rsidP="00D36021">
      <w:pPr>
        <w:jc w:val="both"/>
      </w:pPr>
      <w:r>
        <w:t>Anche</w:t>
      </w:r>
      <w:r w:rsidR="00D36021">
        <w:t xml:space="preserve"> la </w:t>
      </w:r>
      <w:r>
        <w:t xml:space="preserve">sentenza di </w:t>
      </w:r>
      <w:r w:rsidR="00D36021">
        <w:t xml:space="preserve">Cassazione civile Sezione Tributaria n. 22572 del 02/07/08, </w:t>
      </w:r>
      <w:r>
        <w:t>ribadiva il formarsi del</w:t>
      </w:r>
      <w:r w:rsidR="00D36021">
        <w:t xml:space="preserve"> presupposto nell’astratta possibilità del messaggio,</w:t>
      </w:r>
      <w:r w:rsidR="001E6360">
        <w:t xml:space="preserve"> </w:t>
      </w:r>
      <w:r w:rsidR="00D36021">
        <w:t xml:space="preserve">in rapporto all’ubicazione del mezzo, di avere un numero indeterminato di destinatari, che diventano tali solo </w:t>
      </w:r>
      <w:r w:rsidR="001E6360">
        <w:t xml:space="preserve">perché </w:t>
      </w:r>
      <w:r w:rsidR="00D36021">
        <w:t xml:space="preserve">vengono a trovarsi in quel luogo determinato. </w:t>
      </w:r>
    </w:p>
    <w:p w14:paraId="522F6CD2" w14:textId="0BD4F5BA" w:rsidR="00D36021" w:rsidRDefault="001E6360" w:rsidP="00D36021">
      <w:pPr>
        <w:jc w:val="both"/>
        <w:rPr>
          <w:i/>
          <w:iCs/>
        </w:rPr>
      </w:pPr>
      <w:r>
        <w:t>Interessante</w:t>
      </w:r>
      <w:r w:rsidR="007B5378">
        <w:t xml:space="preserve"> </w:t>
      </w:r>
      <w:r w:rsidR="00884087">
        <w:t xml:space="preserve">infine </w:t>
      </w:r>
      <w:r>
        <w:t xml:space="preserve">anche la </w:t>
      </w:r>
      <w:r w:rsidR="00D36021">
        <w:t xml:space="preserve">Sentenza n.27497 del 30/12/2014 </w:t>
      </w:r>
      <w:r>
        <w:t xml:space="preserve">con la quale i giudici hanno ritenuto come </w:t>
      </w:r>
      <w:proofErr w:type="gramStart"/>
      <w:r>
        <w:t xml:space="preserve">la </w:t>
      </w:r>
      <w:r w:rsidR="00D36021">
        <w:t xml:space="preserve"> Stazione</w:t>
      </w:r>
      <w:proofErr w:type="gramEnd"/>
      <w:r w:rsidR="00D36021">
        <w:t xml:space="preserve"> ferroviaria </w:t>
      </w:r>
      <w:r>
        <w:t xml:space="preserve">sia da considerare </w:t>
      </w:r>
      <w:r w:rsidR="00D36021">
        <w:t>luogo aperto al pubblico</w:t>
      </w:r>
      <w:r>
        <w:t xml:space="preserve">. Nella sentenza si legge: </w:t>
      </w:r>
      <w:r w:rsidRPr="007B5378">
        <w:rPr>
          <w:i/>
          <w:iCs/>
        </w:rPr>
        <w:t>“I</w:t>
      </w:r>
      <w:r w:rsidR="00D36021" w:rsidRPr="007B5378">
        <w:rPr>
          <w:i/>
          <w:iCs/>
        </w:rPr>
        <w:t>n realtà, come già osservato dalla citata Cass. n. 2167/2012, ai fini specifici dell’imposta si deve considerare comunque aperto al pubblico lo spazio interno della stazione ferroviaria il cui accesso sia consentito ai soggetti muniti di biglietto di viaggio; ciò in quanto, dalla richiamata disposizione normativa, si evince che il presupposto impositivo debba essere individuato nell’astratta possibilità del messaggio, in rapporto all’ubicazione del mezzo,  di avere un numero indeterminato di destinatari, che diventano tali solo perché vengono a trovarsi in quel luogo determinato</w:t>
      </w:r>
      <w:r w:rsidRPr="007B5378">
        <w:rPr>
          <w:i/>
          <w:iCs/>
        </w:rPr>
        <w:t>.</w:t>
      </w:r>
    </w:p>
    <w:p w14:paraId="1EE10450" w14:textId="20296E39" w:rsidR="007B5378" w:rsidRDefault="007B5378" w:rsidP="00D36021">
      <w:pPr>
        <w:jc w:val="both"/>
      </w:pPr>
      <w:r>
        <w:t xml:space="preserve">Anche i luoghi accessibili solo con un titolo di viaggio, o con un biglietto per accedere ad un evento (sportivo, teatrale, cinematografico, ecc..) rappresentano </w:t>
      </w:r>
      <w:r w:rsidR="00884087">
        <w:t xml:space="preserve">quindi </w:t>
      </w:r>
      <w:r>
        <w:t>a tutti gli effetti luoghi aperti al pubblico così che l’eventuale pubblicità diffusa al loro interno rientrerà nel presupposto applicativo del CUP.</w:t>
      </w:r>
    </w:p>
    <w:p w14:paraId="688897B1" w14:textId="77777777" w:rsidR="00884087" w:rsidRDefault="00884087" w:rsidP="00D36021">
      <w:pPr>
        <w:jc w:val="both"/>
      </w:pPr>
      <w:r>
        <w:t xml:space="preserve">In definitiva la funzione pubblicitaria, atta al formarsi del presupposto applicativo del Canone </w:t>
      </w:r>
      <w:proofErr w:type="gramStart"/>
      <w:r>
        <w:t>Unico,  delle</w:t>
      </w:r>
      <w:proofErr w:type="gramEnd"/>
      <w:r>
        <w:t xml:space="preserve"> insegne, targhe e altre forme di diffusioni rientrano nel presupposto applicativo quando vengono esposte in luoghi pubblici, aperti al pubblico, o da tali luoghi percepibili  da un numero indeterminato di persone.</w:t>
      </w:r>
    </w:p>
    <w:p w14:paraId="4FD55DF3" w14:textId="4D80FD77" w:rsidR="00884087" w:rsidRDefault="00884087" w:rsidP="00D36021">
      <w:pPr>
        <w:jc w:val="both"/>
      </w:pPr>
      <w:r>
        <w:t xml:space="preserve"> </w:t>
      </w:r>
    </w:p>
    <w:p w14:paraId="03326FF0" w14:textId="77777777" w:rsidR="00884087" w:rsidRPr="007B5378" w:rsidRDefault="00884087" w:rsidP="00D36021">
      <w:pPr>
        <w:jc w:val="both"/>
      </w:pPr>
    </w:p>
    <w:p w14:paraId="24E05E03" w14:textId="311FB1BC" w:rsidR="009B536B" w:rsidRDefault="009B536B" w:rsidP="005A2868">
      <w:pPr>
        <w:jc w:val="both"/>
      </w:pPr>
    </w:p>
    <w:sectPr w:rsidR="009B536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2E"/>
    <w:rsid w:val="00010109"/>
    <w:rsid w:val="00060149"/>
    <w:rsid w:val="001B290B"/>
    <w:rsid w:val="001E6360"/>
    <w:rsid w:val="002C50F9"/>
    <w:rsid w:val="00367726"/>
    <w:rsid w:val="004F15B7"/>
    <w:rsid w:val="00556E2E"/>
    <w:rsid w:val="005A2868"/>
    <w:rsid w:val="007B5378"/>
    <w:rsid w:val="00824003"/>
    <w:rsid w:val="00884087"/>
    <w:rsid w:val="009B536B"/>
    <w:rsid w:val="00C003D4"/>
    <w:rsid w:val="00C15A22"/>
    <w:rsid w:val="00D36021"/>
    <w:rsid w:val="00E973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DBF2"/>
  <w15:chartTrackingRefBased/>
  <w15:docId w15:val="{B36D3388-6D5C-4B5B-A075-3812F95FE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Pages>
  <Words>1403</Words>
  <Characters>8001</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2024-05-10T13:40:00Z</dcterms:created>
  <dcterms:modified xsi:type="dcterms:W3CDTF">2024-05-14T08:33:00Z</dcterms:modified>
</cp:coreProperties>
</file>