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6872E1" w14:textId="047E4E81" w:rsidR="007C3E27" w:rsidRDefault="00427967">
      <w:r>
        <w:t xml:space="preserve">Titolo: </w:t>
      </w:r>
      <w:r w:rsidRPr="00427967">
        <w:t>il criterio di misurazione nel canone unico</w:t>
      </w:r>
      <w:r>
        <w:t>. Il caso delle Insegne d’esercizio</w:t>
      </w:r>
    </w:p>
    <w:p w14:paraId="7C965C63" w14:textId="2F6344A4" w:rsidR="00427967" w:rsidRDefault="00427967"/>
    <w:p w14:paraId="0E4D1907" w14:textId="26AF36B4" w:rsidR="00427967" w:rsidRDefault="00427967" w:rsidP="00C07F32">
      <w:pPr>
        <w:jc w:val="both"/>
      </w:pPr>
      <w:r>
        <w:t>Nell</w:t>
      </w:r>
      <w:r w:rsidR="00AA37CB">
        <w:t>’ambito della</w:t>
      </w:r>
      <w:r>
        <w:t xml:space="preserve"> disciplina del Canone Unico Patrimoniale, introdotta </w:t>
      </w:r>
      <w:r w:rsidR="00F92DD5">
        <w:t xml:space="preserve">dal Legislatore </w:t>
      </w:r>
      <w:r w:rsidR="005B040D">
        <w:t>con la</w:t>
      </w:r>
      <w:r>
        <w:t xml:space="preserve"> Legge 160 del 2019, </w:t>
      </w:r>
      <w:r w:rsidR="00F92DD5">
        <w:t xml:space="preserve">non </w:t>
      </w:r>
      <w:r w:rsidR="005B040D">
        <w:t>troviamo alcun cenno sui</w:t>
      </w:r>
      <w:r w:rsidR="00C07F32">
        <w:t xml:space="preserve"> </w:t>
      </w:r>
      <w:r>
        <w:t xml:space="preserve">criteri </w:t>
      </w:r>
      <w:r w:rsidR="00C07F32">
        <w:t xml:space="preserve">di arrotondamento delle </w:t>
      </w:r>
      <w:r w:rsidR="00DC179E">
        <w:t xml:space="preserve">superfici delle occupazioni </w:t>
      </w:r>
      <w:r w:rsidR="005B040D">
        <w:t xml:space="preserve">di suolo pubblico </w:t>
      </w:r>
      <w:r w:rsidR="00DC179E">
        <w:t xml:space="preserve">e </w:t>
      </w:r>
      <w:r w:rsidR="00C07F32">
        <w:t>dei mezzi pubblicitari attratti nel presupposto della nuova entrata.</w:t>
      </w:r>
      <w:r w:rsidR="00F92DD5">
        <w:t xml:space="preserve"> </w:t>
      </w:r>
      <w:r w:rsidR="00A14478">
        <w:t xml:space="preserve">La norma ha previsto, ai commi 824 e </w:t>
      </w:r>
      <w:r w:rsidR="00AA37CB">
        <w:t>825, i</w:t>
      </w:r>
      <w:r w:rsidR="00A14478">
        <w:t xml:space="preserve"> criteri </w:t>
      </w:r>
      <w:r w:rsidR="00AA37CB">
        <w:t xml:space="preserve">generali </w:t>
      </w:r>
      <w:r w:rsidR="00A14478">
        <w:t>per la determinazione del canone</w:t>
      </w:r>
      <w:r w:rsidR="00AA37CB">
        <w:t>,</w:t>
      </w:r>
      <w:r w:rsidR="00A14478">
        <w:t xml:space="preserve"> indicando genericamente</w:t>
      </w:r>
      <w:r w:rsidR="00AA37CB">
        <w:t>,</w:t>
      </w:r>
      <w:r w:rsidR="00A14478">
        <w:t xml:space="preserve"> tra gli elementi</w:t>
      </w:r>
      <w:r w:rsidR="00AA37CB">
        <w:t xml:space="preserve"> necessari per il calcolo</w:t>
      </w:r>
      <w:r w:rsidR="00A14478">
        <w:t>,  la superficie espressa in metri quadrati, nulla specificando sul criterio di arrotondamento da adottare per le misure contenenti decimali.</w:t>
      </w:r>
    </w:p>
    <w:p w14:paraId="152DDE4F" w14:textId="28C83911" w:rsidR="00DC179E" w:rsidRDefault="005B040D" w:rsidP="00C07F32">
      <w:pPr>
        <w:jc w:val="both"/>
      </w:pPr>
      <w:r>
        <w:t>Eppure c</w:t>
      </w:r>
      <w:r w:rsidR="00C07F32">
        <w:t xml:space="preserve">on </w:t>
      </w:r>
      <w:r w:rsidR="00ED5471">
        <w:t>i</w:t>
      </w:r>
      <w:r w:rsidR="00C07F32">
        <w:t xml:space="preserve"> pre</w:t>
      </w:r>
      <w:r w:rsidR="00F92DD5">
        <w:t>ce</w:t>
      </w:r>
      <w:r w:rsidR="00C07F32">
        <w:t>den</w:t>
      </w:r>
      <w:r w:rsidR="00ED5471">
        <w:t>ti</w:t>
      </w:r>
      <w:r w:rsidR="00C07F32">
        <w:t xml:space="preserve"> </w:t>
      </w:r>
      <w:r w:rsidR="00ED5471">
        <w:t>prelievi</w:t>
      </w:r>
      <w:r w:rsidR="00C07F32">
        <w:t xml:space="preserve">, </w:t>
      </w:r>
      <w:r w:rsidR="00A25F80">
        <w:t>i criteri di</w:t>
      </w:r>
      <w:r w:rsidR="00C07F32">
        <w:t xml:space="preserve"> misurazion</w:t>
      </w:r>
      <w:r w:rsidR="00A25F80">
        <w:t>e</w:t>
      </w:r>
      <w:r w:rsidR="00C07F32">
        <w:t xml:space="preserve"> era</w:t>
      </w:r>
      <w:r w:rsidR="00DC179E">
        <w:t>no</w:t>
      </w:r>
      <w:r w:rsidR="00C07F32">
        <w:t xml:space="preserve"> </w:t>
      </w:r>
      <w:r>
        <w:t xml:space="preserve">stati </w:t>
      </w:r>
      <w:r w:rsidR="00C07F32">
        <w:t>disciplinat</w:t>
      </w:r>
      <w:r w:rsidR="00ED5471">
        <w:t>i</w:t>
      </w:r>
      <w:r w:rsidR="00DC179E">
        <w:t xml:space="preserve"> </w:t>
      </w:r>
      <w:r>
        <w:t>nel</w:t>
      </w:r>
      <w:r w:rsidR="00DC179E">
        <w:t xml:space="preserve"> Decreto Legislativo </w:t>
      </w:r>
      <w:r w:rsidR="00C07F32">
        <w:t xml:space="preserve"> 507</w:t>
      </w:r>
      <w:r w:rsidR="00DC179E">
        <w:t xml:space="preserve"> del 1993</w:t>
      </w:r>
      <w:r w:rsidR="00C07F32">
        <w:t xml:space="preserve">, che specificava nel dettaglio i diversi </w:t>
      </w:r>
      <w:r w:rsidR="00A25F80">
        <w:t>calcoli</w:t>
      </w:r>
      <w:r w:rsidR="00DC179E">
        <w:t xml:space="preserve"> </w:t>
      </w:r>
      <w:r w:rsidR="00C07F32">
        <w:t xml:space="preserve">da </w:t>
      </w:r>
      <w:r w:rsidR="00ED5471">
        <w:t>e</w:t>
      </w:r>
      <w:r w:rsidR="00C07F32">
        <w:t xml:space="preserve">seguire </w:t>
      </w:r>
      <w:r w:rsidR="00A25F80">
        <w:t xml:space="preserve">per arrotondare le superfici </w:t>
      </w:r>
      <w:r w:rsidR="00C07F32">
        <w:t>a seconda dell</w:t>
      </w:r>
      <w:r w:rsidR="00A14478">
        <w:t xml:space="preserve">’entrata e della </w:t>
      </w:r>
      <w:r w:rsidR="00C07F32">
        <w:t>dimension</w:t>
      </w:r>
      <w:r w:rsidR="00A14478">
        <w:t>e</w:t>
      </w:r>
      <w:r w:rsidR="00C07F32">
        <w:t xml:space="preserve"> dell’</w:t>
      </w:r>
      <w:r w:rsidR="00DC179E">
        <w:t>oggetto tassato</w:t>
      </w:r>
      <w:r w:rsidR="00C07F32">
        <w:t xml:space="preserve">. </w:t>
      </w:r>
    </w:p>
    <w:p w14:paraId="1E499832" w14:textId="3EE9C9F5" w:rsidR="00C07F32" w:rsidRPr="00DC179E" w:rsidRDefault="00DC179E" w:rsidP="007D029D">
      <w:pPr>
        <w:jc w:val="both"/>
      </w:pPr>
      <w:r>
        <w:t>In particolare</w:t>
      </w:r>
      <w:r w:rsidR="00ED5471">
        <w:t>,</w:t>
      </w:r>
      <w:r>
        <w:t xml:space="preserve"> per quanto riguarda il presupposto pubblicitario a cui è dedicato questo approfondimento, l’</w:t>
      </w:r>
      <w:r w:rsidR="00C07F32">
        <w:t xml:space="preserve">articolo 7 </w:t>
      </w:r>
      <w:r>
        <w:t xml:space="preserve">del decreto </w:t>
      </w:r>
      <w:r w:rsidR="00C07F32">
        <w:t>prevedeva</w:t>
      </w:r>
      <w:r>
        <w:t xml:space="preserve">: </w:t>
      </w:r>
      <w:r w:rsidR="007D029D" w:rsidRPr="007D029D">
        <w:rPr>
          <w:i/>
          <w:iCs/>
        </w:rPr>
        <w:t>“L'imposta sulla pubblicità si determina in base alla superficie della minima figura piana geometrica in cui è circoscritto il mezzo pubblicitario</w:t>
      </w:r>
      <w:r w:rsidR="007D029D">
        <w:t>”</w:t>
      </w:r>
      <w:r w:rsidR="007D029D" w:rsidRPr="00DC179E">
        <w:rPr>
          <w:i/>
          <w:iCs/>
        </w:rPr>
        <w:t xml:space="preserve"> </w:t>
      </w:r>
      <w:r w:rsidR="007D029D">
        <w:rPr>
          <w:i/>
          <w:iCs/>
        </w:rPr>
        <w:t xml:space="preserve">e </w:t>
      </w:r>
      <w:r w:rsidRPr="00DC179E">
        <w:rPr>
          <w:i/>
          <w:iCs/>
        </w:rPr>
        <w:t>“…Le superfici inferiore ad un metro quadrato si arrotondano per eccesso al metro quadrato e le frazioni di esso, oltre il primo, a mezzo metro quadrato</w:t>
      </w:r>
      <w:r>
        <w:t>” e ancora “</w:t>
      </w:r>
      <w:r w:rsidR="007D029D">
        <w:t xml:space="preserve">i </w:t>
      </w:r>
      <w:r w:rsidRPr="00DC179E">
        <w:rPr>
          <w:i/>
          <w:iCs/>
        </w:rPr>
        <w:t>festoni di bandierine e simili nonché' i mezzi di identico contenuto, ovvero riferibili al medesimo soggetto passivo, collocati in connessione tra loro si considerano, agli effetti del calcolo della superficie imponibile, come un unico mezzo pubblicitario.</w:t>
      </w:r>
      <w:r>
        <w:t>”</w:t>
      </w:r>
      <w:r w:rsidR="00C07F32" w:rsidRPr="00DC179E">
        <w:t xml:space="preserve"> </w:t>
      </w:r>
    </w:p>
    <w:p w14:paraId="76839376" w14:textId="1E47E028" w:rsidR="005E2629" w:rsidRDefault="00C07F32" w:rsidP="00C07F32">
      <w:pPr>
        <w:jc w:val="both"/>
      </w:pPr>
      <w:r>
        <w:t xml:space="preserve">Questa base di </w:t>
      </w:r>
      <w:r w:rsidR="00A14478">
        <w:t>calcolo</w:t>
      </w:r>
      <w:r w:rsidR="00A25F80">
        <w:t>,</w:t>
      </w:r>
      <w:r>
        <w:t xml:space="preserve"> con l’introduzione del </w:t>
      </w:r>
      <w:r w:rsidR="00A14478">
        <w:t>C</w:t>
      </w:r>
      <w:r>
        <w:t xml:space="preserve">anone </w:t>
      </w:r>
      <w:r w:rsidR="00A14478">
        <w:t>U</w:t>
      </w:r>
      <w:r>
        <w:t xml:space="preserve">nico, </w:t>
      </w:r>
      <w:r w:rsidR="00A25F80">
        <w:t xml:space="preserve">è venuta </w:t>
      </w:r>
      <w:r w:rsidR="00AA4A3E">
        <w:t>meno, così</w:t>
      </w:r>
      <w:r>
        <w:t xml:space="preserve"> che i diversi </w:t>
      </w:r>
      <w:r w:rsidR="00A25F80">
        <w:t xml:space="preserve">Enti locali chiamati ad istituire </w:t>
      </w:r>
      <w:r w:rsidR="00AA4A3E">
        <w:t>l’entrata, hanno</w:t>
      </w:r>
      <w:r>
        <w:t xml:space="preserve"> </w:t>
      </w:r>
      <w:r w:rsidR="005E2629">
        <w:t>dovuto</w:t>
      </w:r>
      <w:r>
        <w:t xml:space="preserve"> </w:t>
      </w:r>
      <w:r w:rsidR="00D943B0">
        <w:t>adottare</w:t>
      </w:r>
      <w:r w:rsidR="00A14478">
        <w:t>, all’interno dei propri regolamenti,</w:t>
      </w:r>
      <w:r>
        <w:t xml:space="preserve"> i criteri ritenuti più consoni per determinare le metrature </w:t>
      </w:r>
      <w:r w:rsidR="005E2629">
        <w:t xml:space="preserve">alle quali </w:t>
      </w:r>
      <w:r w:rsidR="005B040D">
        <w:t>applicare</w:t>
      </w:r>
      <w:r w:rsidR="00D943B0">
        <w:t xml:space="preserve"> le</w:t>
      </w:r>
      <w:r>
        <w:t xml:space="preserve"> tariff</w:t>
      </w:r>
      <w:r w:rsidR="00D943B0">
        <w:t>e</w:t>
      </w:r>
      <w:r>
        <w:t xml:space="preserve"> deliberat</w:t>
      </w:r>
      <w:r w:rsidR="00D943B0">
        <w:t>e</w:t>
      </w:r>
      <w:r w:rsidR="00AA4A3E">
        <w:t xml:space="preserve"> per le diverse fattispecie</w:t>
      </w:r>
      <w:r>
        <w:t>.</w:t>
      </w:r>
      <w:r w:rsidR="00DC179E">
        <w:t xml:space="preserve"> </w:t>
      </w:r>
    </w:p>
    <w:p w14:paraId="0CE597C9" w14:textId="29B1C122" w:rsidR="00C07F32" w:rsidRDefault="00C07F32" w:rsidP="00C07F32">
      <w:pPr>
        <w:jc w:val="both"/>
      </w:pPr>
      <w:r>
        <w:t xml:space="preserve">Nella maggior parte dei casi i Comuni hanno </w:t>
      </w:r>
      <w:r w:rsidR="00D943B0">
        <w:t>copiato</w:t>
      </w:r>
      <w:r>
        <w:t xml:space="preserve"> esattamente i criteri </w:t>
      </w:r>
      <w:r w:rsidR="00AA4A3E">
        <w:t xml:space="preserve">già </w:t>
      </w:r>
      <w:r>
        <w:t>usati in materia di Imposta sulla Pubblicità</w:t>
      </w:r>
      <w:r w:rsidR="00A25F80">
        <w:t xml:space="preserve"> sopra richiamati</w:t>
      </w:r>
      <w:r>
        <w:t>,</w:t>
      </w:r>
      <w:r w:rsidR="00A14478">
        <w:t xml:space="preserve"> mentre</w:t>
      </w:r>
      <w:r>
        <w:t xml:space="preserve"> </w:t>
      </w:r>
      <w:r w:rsidR="00D943B0">
        <w:t xml:space="preserve">alcune amministrazioni locali </w:t>
      </w:r>
      <w:r>
        <w:t>si sono spint</w:t>
      </w:r>
      <w:r w:rsidR="00D943B0">
        <w:t>e</w:t>
      </w:r>
      <w:r>
        <w:t xml:space="preserve"> in iniziative personalizzate</w:t>
      </w:r>
      <w:r w:rsidR="00A25F80">
        <w:t>,</w:t>
      </w:r>
      <w:r>
        <w:t xml:space="preserve"> </w:t>
      </w:r>
      <w:r w:rsidR="00A25F80">
        <w:t>forti della</w:t>
      </w:r>
      <w:r w:rsidR="00A14478">
        <w:t xml:space="preserve"> </w:t>
      </w:r>
      <w:r>
        <w:t xml:space="preserve">potestà regolamentare </w:t>
      </w:r>
      <w:r w:rsidR="00A25F80">
        <w:t xml:space="preserve">riconosciuta loro </w:t>
      </w:r>
      <w:r w:rsidR="00D943B0">
        <w:t xml:space="preserve">in materia di proprie entrate </w:t>
      </w:r>
      <w:r w:rsidR="00A25F80">
        <w:t>dal</w:t>
      </w:r>
      <w:r>
        <w:t>l’articolo 52 del D.Lgs 446/97.</w:t>
      </w:r>
    </w:p>
    <w:p w14:paraId="5E7E1DEA" w14:textId="16E7D653" w:rsidR="00C07F32" w:rsidRDefault="00C07F32" w:rsidP="00C07F32">
      <w:pPr>
        <w:jc w:val="both"/>
      </w:pPr>
      <w:r>
        <w:t xml:space="preserve">È evidente </w:t>
      </w:r>
      <w:r w:rsidR="00D943B0">
        <w:t xml:space="preserve">quindi </w:t>
      </w:r>
      <w:r>
        <w:t xml:space="preserve">come questa </w:t>
      </w:r>
      <w:r w:rsidR="005E2629">
        <w:t>carenza</w:t>
      </w:r>
      <w:r>
        <w:t xml:space="preserve"> di disciplina a livello legislativo, abbia creato un panorama di situazioni variegat</w:t>
      </w:r>
      <w:r w:rsidR="00D943B0">
        <w:t>e</w:t>
      </w:r>
      <w:r w:rsidR="005E2629">
        <w:t>, divers</w:t>
      </w:r>
      <w:r w:rsidR="00D943B0">
        <w:t>e</w:t>
      </w:r>
      <w:r>
        <w:t xml:space="preserve"> da comune </w:t>
      </w:r>
      <w:r w:rsidR="004A32BA">
        <w:t>a</w:t>
      </w:r>
      <w:r>
        <w:t xml:space="preserve"> comune, creando evidenti problemi a </w:t>
      </w:r>
      <w:r w:rsidR="005E2629">
        <w:t xml:space="preserve">tutti quei soggetti chiamati </w:t>
      </w:r>
      <w:r>
        <w:t>a operare in diversi ambiti territoriali</w:t>
      </w:r>
      <w:r w:rsidR="005E2629">
        <w:t>. Una giungla di regolamenti che cambiano ad ogni confine</w:t>
      </w:r>
      <w:r w:rsidR="00D943B0">
        <w:t xml:space="preserve"> locale</w:t>
      </w:r>
      <w:r w:rsidR="005E2629">
        <w:t xml:space="preserve">, </w:t>
      </w:r>
      <w:r>
        <w:t>aggiunge</w:t>
      </w:r>
      <w:r w:rsidR="005E2629">
        <w:t>ndo</w:t>
      </w:r>
      <w:r>
        <w:t xml:space="preserve"> </w:t>
      </w:r>
      <w:r w:rsidR="004A32BA">
        <w:t xml:space="preserve">solo </w:t>
      </w:r>
      <w:r>
        <w:t>confusione ad un settore che sta vivendo</w:t>
      </w:r>
      <w:r w:rsidR="00D943B0">
        <w:t>,</w:t>
      </w:r>
      <w:r>
        <w:t xml:space="preserve"> </w:t>
      </w:r>
      <w:r w:rsidR="005E2629">
        <w:t xml:space="preserve">oggi </w:t>
      </w:r>
      <w:r w:rsidR="005B040D">
        <w:t>più che mai</w:t>
      </w:r>
      <w:r w:rsidR="00D943B0">
        <w:t>,</w:t>
      </w:r>
      <w:r>
        <w:t xml:space="preserve"> una situazione di caos</w:t>
      </w:r>
      <w:r w:rsidR="004A32BA">
        <w:t>.</w:t>
      </w:r>
      <w:r w:rsidR="00095B38">
        <w:t xml:space="preserve"> Troppe </w:t>
      </w:r>
      <w:r w:rsidR="00D943B0">
        <w:t xml:space="preserve">infatti </w:t>
      </w:r>
      <w:r w:rsidR="00095B38">
        <w:t>sono</w:t>
      </w:r>
      <w:r w:rsidR="00D943B0">
        <w:t xml:space="preserve"> ancora</w:t>
      </w:r>
      <w:r w:rsidR="00095B38">
        <w:t xml:space="preserve"> le incertezze applicative che stiamo </w:t>
      </w:r>
      <w:r w:rsidR="00D943B0">
        <w:t>subendo</w:t>
      </w:r>
      <w:r w:rsidR="00095B38">
        <w:t xml:space="preserve"> a causa di una disciplina </w:t>
      </w:r>
      <w:r w:rsidR="00A25F80">
        <w:t>incompleta, nata</w:t>
      </w:r>
      <w:r w:rsidR="00095B38">
        <w:t xml:space="preserve"> dalla scelta di unire </w:t>
      </w:r>
      <w:r w:rsidR="00D943B0">
        <w:t>entrate</w:t>
      </w:r>
      <w:r w:rsidR="00095B38">
        <w:t xml:space="preserve"> oggettivamente divers</w:t>
      </w:r>
      <w:r w:rsidR="00D943B0">
        <w:t>e tra loro</w:t>
      </w:r>
      <w:r w:rsidR="00095B38">
        <w:t>.</w:t>
      </w:r>
    </w:p>
    <w:p w14:paraId="021C3C58" w14:textId="7A510166" w:rsidR="00202C00" w:rsidRDefault="00095B38" w:rsidP="00C07F32">
      <w:pPr>
        <w:jc w:val="both"/>
      </w:pPr>
      <w:r>
        <w:t>Sulla tema del criterio di arrotondamento delle superfici, p</w:t>
      </w:r>
      <w:r w:rsidR="00202C00">
        <w:t xml:space="preserve">articolarmente interessante è la problematica che si </w:t>
      </w:r>
      <w:r w:rsidR="00D943B0">
        <w:t>è sviluppata</w:t>
      </w:r>
      <w:r w:rsidR="00202C00">
        <w:t xml:space="preserve"> da più parti </w:t>
      </w:r>
      <w:r>
        <w:t>d</w:t>
      </w:r>
      <w:r w:rsidR="00202C00">
        <w:t>el territorio</w:t>
      </w:r>
      <w:r>
        <w:t xml:space="preserve"> nazionale</w:t>
      </w:r>
      <w:r w:rsidR="00202C00">
        <w:t xml:space="preserve"> riguardante il criterio di misurazione delle insegne d’esercizio. </w:t>
      </w:r>
      <w:r w:rsidR="00D943B0">
        <w:t>Questione</w:t>
      </w:r>
      <w:r w:rsidR="00202C00">
        <w:t xml:space="preserve"> sort</w:t>
      </w:r>
      <w:r w:rsidR="00D943B0">
        <w:t>a</w:t>
      </w:r>
      <w:r w:rsidR="00202C00">
        <w:t xml:space="preserve"> già in materia di ICP e che non ha davvero trovato soluzione in </w:t>
      </w:r>
      <w:r w:rsidR="00A25F80">
        <w:t>regime</w:t>
      </w:r>
      <w:r w:rsidR="00202C00">
        <w:t xml:space="preserve"> di </w:t>
      </w:r>
      <w:r>
        <w:t>Canone Unico</w:t>
      </w:r>
      <w:r w:rsidR="00202C00">
        <w:t>.</w:t>
      </w:r>
    </w:p>
    <w:p w14:paraId="33DC2A65" w14:textId="77777777" w:rsidR="00A25F80" w:rsidRDefault="00A25F80" w:rsidP="00C07F32">
      <w:pPr>
        <w:jc w:val="both"/>
      </w:pPr>
      <w:r>
        <w:t>Il quadro normativo</w:t>
      </w:r>
    </w:p>
    <w:p w14:paraId="20115701" w14:textId="3E29E2CC" w:rsidR="00202C00" w:rsidRDefault="00095B38" w:rsidP="00C07F32">
      <w:pPr>
        <w:jc w:val="both"/>
        <w:rPr>
          <w:i/>
          <w:iCs/>
        </w:rPr>
      </w:pPr>
      <w:r>
        <w:t>A mente del</w:t>
      </w:r>
      <w:r w:rsidR="005B040D">
        <w:t>l’articolo 47 del</w:t>
      </w:r>
      <w:r>
        <w:t xml:space="preserve"> </w:t>
      </w:r>
      <w:r w:rsidR="004A3E6C">
        <w:t>R</w:t>
      </w:r>
      <w:r>
        <w:t>egolamento di attuazione del Codice della Strada</w:t>
      </w:r>
      <w:r w:rsidR="004A3E6C">
        <w:t>, s</w:t>
      </w:r>
      <w:r w:rsidR="004A3E6C" w:rsidRPr="004A3E6C">
        <w:t xml:space="preserve">i definisce «insegna di esercizio» </w:t>
      </w:r>
      <w:r w:rsidR="004A3E6C" w:rsidRPr="004A3E6C">
        <w:rPr>
          <w:i/>
          <w:iCs/>
        </w:rPr>
        <w:t>la scritta in caratteri alfanumerici, completata eventualmente da simboli e da marchi, realizzata e supportata con materiali di qualsiasi natura, installata nella sede dell'attività a cui si riferisce o nelle pertinenze accessorie alla stessa. Può essere luminosa sia per luce propria che per luce indiretta</w:t>
      </w:r>
      <w:r w:rsidR="00E45384">
        <w:rPr>
          <w:i/>
          <w:iCs/>
        </w:rPr>
        <w:t>.</w:t>
      </w:r>
    </w:p>
    <w:p w14:paraId="76A4AA20" w14:textId="15CF9CD8" w:rsidR="00E45384" w:rsidRPr="00E45384" w:rsidRDefault="00E45384" w:rsidP="00E45384">
      <w:pPr>
        <w:jc w:val="both"/>
        <w:rPr>
          <w:i/>
          <w:iCs/>
        </w:rPr>
      </w:pPr>
      <w:r>
        <w:t>La disciplina del CUP</w:t>
      </w:r>
      <w:r w:rsidR="003726D3">
        <w:t>,</w:t>
      </w:r>
      <w:r>
        <w:t xml:space="preserve"> </w:t>
      </w:r>
      <w:r w:rsidR="00A25F80">
        <w:t>al</w:t>
      </w:r>
      <w:r>
        <w:t xml:space="preserve"> comma </w:t>
      </w:r>
      <w:r w:rsidR="003726D3">
        <w:t xml:space="preserve">833 </w:t>
      </w:r>
      <w:r w:rsidR="00A25F80">
        <w:t xml:space="preserve">dell’articolo 1 </w:t>
      </w:r>
      <w:r w:rsidR="003726D3">
        <w:t>della Legge 160/2019</w:t>
      </w:r>
      <w:r w:rsidR="004E7E81">
        <w:t xml:space="preserve"> </w:t>
      </w:r>
      <w:r>
        <w:t xml:space="preserve">dedicato alle esenzioni, </w:t>
      </w:r>
      <w:r w:rsidR="004E7E81">
        <w:t xml:space="preserve">ha ripreso </w:t>
      </w:r>
      <w:r>
        <w:t xml:space="preserve">quanto già previsto in materia di Imposta Comunale sulla Pubblicità, </w:t>
      </w:r>
      <w:r w:rsidR="004E7E81">
        <w:t>circa</w:t>
      </w:r>
      <w:r>
        <w:t xml:space="preserve"> la previsione di esenzione </w:t>
      </w:r>
      <w:r w:rsidR="004E7E81">
        <w:t>“</w:t>
      </w:r>
      <w:r w:rsidRPr="00E45384">
        <w:rPr>
          <w:i/>
          <w:iCs/>
        </w:rPr>
        <w:t xml:space="preserve">per le </w:t>
      </w:r>
      <w:r w:rsidRPr="00E45384">
        <w:rPr>
          <w:i/>
          <w:iCs/>
        </w:rPr>
        <w:lastRenderedPageBreak/>
        <w:t>insegne d’esercizio di attività commerciali e di produzione di beni o servizi che contraddistinguono la sede ove si svolge l’attività cui si riferiscono, di superficie fino a 5 metri quadrati</w:t>
      </w:r>
      <w:r w:rsidR="004E7E81">
        <w:rPr>
          <w:i/>
          <w:iCs/>
        </w:rPr>
        <w:t>”.</w:t>
      </w:r>
    </w:p>
    <w:p w14:paraId="50B2E66A" w14:textId="0F8051D8" w:rsidR="003726D3" w:rsidRDefault="00E45384" w:rsidP="00C07F32">
      <w:pPr>
        <w:jc w:val="both"/>
      </w:pPr>
      <w:r>
        <w:t xml:space="preserve">La portata dell’esenzione e la sua corretta applicazione è riservata pertanto solo a quelle insegne d’esercizio esposte presso </w:t>
      </w:r>
      <w:r w:rsidR="00795074">
        <w:t>un’attività</w:t>
      </w:r>
      <w:r>
        <w:t xml:space="preserve"> economica</w:t>
      </w:r>
      <w:r w:rsidR="003726D3">
        <w:t xml:space="preserve"> la cui superficie complessiva, intesa come somma delle diverse superfici, non superi il limite di mq 5,00. Limite oltre il quale le insegne perdono il </w:t>
      </w:r>
      <w:r w:rsidR="004E7E81">
        <w:t xml:space="preserve">possibile </w:t>
      </w:r>
      <w:r w:rsidR="003726D3">
        <w:t>beneficio</w:t>
      </w:r>
      <w:r w:rsidR="004E7E81">
        <w:t xml:space="preserve">, dovendo di conseguenza </w:t>
      </w:r>
      <w:r w:rsidR="003726D3">
        <w:t>scontare il pagamento del canone per l’intera superficie.</w:t>
      </w:r>
    </w:p>
    <w:p w14:paraId="07572BEC" w14:textId="21457485" w:rsidR="003726D3" w:rsidRDefault="003726D3" w:rsidP="00C07F32">
      <w:pPr>
        <w:jc w:val="both"/>
      </w:pPr>
      <w:r>
        <w:t xml:space="preserve">Sul criterio di misurazione necessario per definire se le insegne d’esercizio collocate nell’ambito di una attività possano </w:t>
      </w:r>
      <w:r w:rsidR="00AB59A3">
        <w:t xml:space="preserve">o meno </w:t>
      </w:r>
      <w:r>
        <w:t>godere dell’esenzione, è nato un dibattito</w:t>
      </w:r>
      <w:r w:rsidR="00143EAB">
        <w:t>,</w:t>
      </w:r>
      <w:r>
        <w:t xml:space="preserve"> ancora aperto</w:t>
      </w:r>
      <w:r w:rsidR="00143EAB">
        <w:t>,</w:t>
      </w:r>
      <w:r>
        <w:t xml:space="preserve"> che h</w:t>
      </w:r>
      <w:r w:rsidR="00422022">
        <w:t>a</w:t>
      </w:r>
      <w:r>
        <w:t xml:space="preserve"> generato non pochi contenziosi in questi anni, sia in regime d’imposta che di canone.</w:t>
      </w:r>
    </w:p>
    <w:p w14:paraId="757BD542" w14:textId="690F81D1" w:rsidR="00143EAB" w:rsidRDefault="003726D3" w:rsidP="00C07F32">
      <w:pPr>
        <w:jc w:val="both"/>
      </w:pPr>
      <w:r>
        <w:t>Da una parte chi ritiene che il calcolo della superficie utile a capire se può essere accordata l’esenzione, debba essere effettuato sommando le superfici reali di tutte le insegne</w:t>
      </w:r>
      <w:r w:rsidR="00143EAB">
        <w:t>,</w:t>
      </w:r>
      <w:r>
        <w:t xml:space="preserve"> utilizzando il criterio</w:t>
      </w:r>
      <w:r w:rsidR="005B040D">
        <w:t xml:space="preserve"> già</w:t>
      </w:r>
      <w:r>
        <w:t xml:space="preserve"> previsto</w:t>
      </w:r>
      <w:r w:rsidR="005B040D">
        <w:t xml:space="preserve"> in regime ICP,</w:t>
      </w:r>
      <w:r>
        <w:t xml:space="preserve"> per </w:t>
      </w:r>
      <w:r w:rsidRPr="003726D3">
        <w:t>i mezzi di identico contenuto, riferibili al medesimo soggetto passivo</w:t>
      </w:r>
      <w:r>
        <w:t xml:space="preserve"> e</w:t>
      </w:r>
      <w:r w:rsidRPr="003726D3">
        <w:t xml:space="preserve"> collocati in connessione tra loro</w:t>
      </w:r>
      <w:r w:rsidR="00143EAB">
        <w:t>, dall’altra invece chi ritiene scorretta questa procedura e si affida al criterio di arrotondamento fissato per l’ICP dal comma 2</w:t>
      </w:r>
      <w:r w:rsidR="004557AF">
        <w:t xml:space="preserve"> dell’articolo 7</w:t>
      </w:r>
      <w:r w:rsidR="00143EAB">
        <w:t xml:space="preserve"> del D.Lgs 507/93</w:t>
      </w:r>
      <w:r w:rsidR="004557AF">
        <w:t>, che come detto, trova</w:t>
      </w:r>
      <w:r w:rsidR="005B040D">
        <w:t xml:space="preserve"> applicazione anche in regime</w:t>
      </w:r>
      <w:r w:rsidR="00143EAB">
        <w:t xml:space="preserve"> CUP </w:t>
      </w:r>
      <w:r w:rsidR="005B040D">
        <w:t xml:space="preserve">quando riportato </w:t>
      </w:r>
      <w:r w:rsidR="004557AF">
        <w:t>ne</w:t>
      </w:r>
      <w:r w:rsidR="005B040D">
        <w:t>l R</w:t>
      </w:r>
      <w:r w:rsidR="00143EAB">
        <w:t>egolament</w:t>
      </w:r>
      <w:r w:rsidR="005B040D">
        <w:t>o</w:t>
      </w:r>
      <w:r w:rsidR="00143EAB">
        <w:t xml:space="preserve"> </w:t>
      </w:r>
      <w:r w:rsidR="005B040D">
        <w:t>C</w:t>
      </w:r>
      <w:r w:rsidR="00143EAB">
        <w:t>omunal</w:t>
      </w:r>
      <w:r w:rsidR="005B040D">
        <w:t>e</w:t>
      </w:r>
      <w:r w:rsidR="00143EAB">
        <w:t>.</w:t>
      </w:r>
    </w:p>
    <w:p w14:paraId="111261FF" w14:textId="5C190D90" w:rsidR="009A32A1" w:rsidRDefault="003726D3" w:rsidP="00C07F32">
      <w:pPr>
        <w:jc w:val="both"/>
      </w:pPr>
      <w:r>
        <w:t xml:space="preserve">I sostenitori </w:t>
      </w:r>
      <w:r w:rsidR="00143EAB">
        <w:t>della prima teoria</w:t>
      </w:r>
      <w:r>
        <w:t xml:space="preserve">, </w:t>
      </w:r>
      <w:r w:rsidR="009A32A1">
        <w:t>mett</w:t>
      </w:r>
      <w:r w:rsidR="00143EAB">
        <w:t>ono</w:t>
      </w:r>
      <w:r>
        <w:t xml:space="preserve"> alla base del loro criterio di misurazione, il concetto di connessione tra le varie insegne d’esercizio e</w:t>
      </w:r>
      <w:r w:rsidR="00143EAB">
        <w:t xml:space="preserve"> procedono</w:t>
      </w:r>
      <w:r w:rsidR="005B040D">
        <w:t xml:space="preserve"> quindi</w:t>
      </w:r>
      <w:r w:rsidR="00143EAB">
        <w:t xml:space="preserve"> alla loro misurazione </w:t>
      </w:r>
      <w:r w:rsidR="000150C3">
        <w:t>effettiva complessiva</w:t>
      </w:r>
      <w:r w:rsidR="004557AF">
        <w:t>. S</w:t>
      </w:r>
      <w:r>
        <w:t xml:space="preserve">olo se questa somma </w:t>
      </w:r>
      <w:r w:rsidR="009A32A1">
        <w:t>risult</w:t>
      </w:r>
      <w:r w:rsidR="004557AF">
        <w:t>erà</w:t>
      </w:r>
      <w:r>
        <w:t xml:space="preserve"> superiore alla soglia dei </w:t>
      </w:r>
      <w:r w:rsidR="009A32A1">
        <w:t xml:space="preserve">cinque </w:t>
      </w:r>
      <w:r>
        <w:t>metri quadrati, allora proceder</w:t>
      </w:r>
      <w:r w:rsidR="005B040D">
        <w:t>anno</w:t>
      </w:r>
      <w:r>
        <w:t xml:space="preserve"> ad applicare il canone</w:t>
      </w:r>
      <w:r w:rsidR="004557AF">
        <w:t>,</w:t>
      </w:r>
      <w:r>
        <w:t xml:space="preserve"> </w:t>
      </w:r>
      <w:r w:rsidR="009A32A1">
        <w:t>calcolando</w:t>
      </w:r>
      <w:r>
        <w:t xml:space="preserve"> </w:t>
      </w:r>
      <w:r w:rsidR="009A32A1">
        <w:t xml:space="preserve">questa volta </w:t>
      </w:r>
      <w:r w:rsidR="00143EAB">
        <w:t>il dovuto</w:t>
      </w:r>
      <w:r w:rsidR="004557AF">
        <w:t>,</w:t>
      </w:r>
      <w:r w:rsidR="00143EAB">
        <w:t xml:space="preserve"> </w:t>
      </w:r>
      <w:r>
        <w:t>sui singoli mezzi</w:t>
      </w:r>
      <w:r w:rsidR="009A32A1">
        <w:t xml:space="preserve"> con </w:t>
      </w:r>
      <w:r>
        <w:t>arrotonda</w:t>
      </w:r>
      <w:r w:rsidR="009A32A1">
        <w:t>mento puntuale.</w:t>
      </w:r>
    </w:p>
    <w:p w14:paraId="682D58F5" w14:textId="516F5E2B" w:rsidR="006E4B0D" w:rsidRDefault="00143EAB" w:rsidP="00C07F32">
      <w:pPr>
        <w:jc w:val="both"/>
      </w:pPr>
      <w:r>
        <w:t xml:space="preserve">Chi invece utilizza </w:t>
      </w:r>
      <w:r w:rsidR="004557AF">
        <w:t xml:space="preserve">fin da subito </w:t>
      </w:r>
      <w:r>
        <w:t xml:space="preserve">i criteri </w:t>
      </w:r>
      <w:r w:rsidR="003B7A13">
        <w:t xml:space="preserve">di misurazione </w:t>
      </w:r>
      <w:r>
        <w:t xml:space="preserve">generali, </w:t>
      </w:r>
      <w:r w:rsidR="009A32A1">
        <w:t>procede</w:t>
      </w:r>
      <w:r w:rsidR="004557AF">
        <w:t>rà</w:t>
      </w:r>
      <w:r w:rsidR="009A32A1">
        <w:t xml:space="preserve"> al</w:t>
      </w:r>
      <w:r w:rsidR="003B7A13">
        <w:t xml:space="preserve"> calcolo della superficie con arrotondamento</w:t>
      </w:r>
      <w:r w:rsidR="000150C3">
        <w:t xml:space="preserve"> della</w:t>
      </w:r>
      <w:r w:rsidR="009A32A1">
        <w:t xml:space="preserve"> singola insegna </w:t>
      </w:r>
      <w:r w:rsidR="00D15EE0">
        <w:t>d’esercizio</w:t>
      </w:r>
      <w:r>
        <w:t>,</w:t>
      </w:r>
      <w:r w:rsidR="00D15EE0">
        <w:t xml:space="preserve"> così come </w:t>
      </w:r>
      <w:r>
        <w:t xml:space="preserve">già </w:t>
      </w:r>
      <w:r w:rsidR="00D15EE0">
        <w:t xml:space="preserve">avviene per qualunque </w:t>
      </w:r>
      <w:r w:rsidR="004557AF">
        <w:t xml:space="preserve">altro </w:t>
      </w:r>
      <w:r w:rsidR="00D15EE0">
        <w:t xml:space="preserve">mezzo pubblicitario </w:t>
      </w:r>
      <w:r>
        <w:t>dotato di</w:t>
      </w:r>
      <w:r w:rsidR="00D15EE0">
        <w:t xml:space="preserve"> autonomia funzionale.</w:t>
      </w:r>
      <w:r w:rsidR="006E4B0D">
        <w:t xml:space="preserve"> L</w:t>
      </w:r>
      <w:r w:rsidR="004557AF">
        <w:t>e</w:t>
      </w:r>
      <w:r w:rsidR="006E4B0D">
        <w:t xml:space="preserve"> misur</w:t>
      </w:r>
      <w:r w:rsidR="004557AF">
        <w:t>e</w:t>
      </w:r>
      <w:r w:rsidR="006E4B0D">
        <w:t xml:space="preserve"> “fiscal</w:t>
      </w:r>
      <w:r w:rsidR="004557AF">
        <w:t>i</w:t>
      </w:r>
      <w:r w:rsidR="006E4B0D">
        <w:t xml:space="preserve">” delle singole insegne d’esercizio </w:t>
      </w:r>
      <w:r w:rsidR="004557AF">
        <w:t>verranno</w:t>
      </w:r>
      <w:r w:rsidR="006E4B0D">
        <w:t xml:space="preserve"> </w:t>
      </w:r>
      <w:r>
        <w:t xml:space="preserve">quindi </w:t>
      </w:r>
      <w:r w:rsidR="006E4B0D">
        <w:t>sommat</w:t>
      </w:r>
      <w:r w:rsidR="004557AF">
        <w:t>e tra loro,</w:t>
      </w:r>
      <w:r w:rsidR="006E4B0D">
        <w:t xml:space="preserve"> per addivenire al calcolo complessivo utile a stabilire l’eventuale</w:t>
      </w:r>
      <w:r>
        <w:t xml:space="preserve"> soglia di</w:t>
      </w:r>
      <w:r w:rsidR="006E4B0D">
        <w:t xml:space="preserve"> esenzione.</w:t>
      </w:r>
    </w:p>
    <w:p w14:paraId="0BD3B72A" w14:textId="16D8C5B0" w:rsidR="00202C00" w:rsidRDefault="006E4B0D" w:rsidP="00C07F32">
      <w:pPr>
        <w:jc w:val="both"/>
      </w:pPr>
      <w:r>
        <w:t xml:space="preserve">È evidente come questa seconda linea interpretativa appaia la via più corretta </w:t>
      </w:r>
      <w:r w:rsidR="00143EAB">
        <w:t>e coerente con la disciplina</w:t>
      </w:r>
      <w:r w:rsidR="000150C3">
        <w:t xml:space="preserve">. </w:t>
      </w:r>
      <w:r>
        <w:t xml:space="preserve"> Il contenzioso sviluppatosi in questi anni è </w:t>
      </w:r>
      <w:r w:rsidR="004557AF">
        <w:t xml:space="preserve">in </w:t>
      </w:r>
      <w:r w:rsidR="00E74FB8">
        <w:t xml:space="preserve">netta </w:t>
      </w:r>
      <w:r w:rsidR="004557AF">
        <w:t xml:space="preserve">prevalenza </w:t>
      </w:r>
      <w:r>
        <w:t>orientato a riconoscere il principio di misurazione fiscale</w:t>
      </w:r>
      <w:r w:rsidR="004557AF">
        <w:t>,</w:t>
      </w:r>
      <w:r>
        <w:t xml:space="preserve"> da applicare alle singole insegne, </w:t>
      </w:r>
      <w:r w:rsidR="000150C3">
        <w:t>riservando</w:t>
      </w:r>
      <w:r w:rsidR="004557AF">
        <w:t xml:space="preserve"> invece </w:t>
      </w:r>
      <w:r>
        <w:t xml:space="preserve">il criterio </w:t>
      </w:r>
      <w:r w:rsidR="000150C3">
        <w:t xml:space="preserve">di sommatoria non approssimata solo </w:t>
      </w:r>
      <w:r>
        <w:t xml:space="preserve">per particolari situazioni pubblicitarie come i festoni, le bandierine e altre forme di pubblicità caratterizzate da vincoli di connessione che consentono una diffusione pubblicitaria unica nel </w:t>
      </w:r>
      <w:r w:rsidR="00E42FD8">
        <w:t>contesto di</w:t>
      </w:r>
      <w:r>
        <w:t xml:space="preserve"> un’attività economica.</w:t>
      </w:r>
      <w:r w:rsidR="00E42FD8">
        <w:t xml:space="preserve"> Sia la Corte di Cassazione che diverse Corti di Giustizia Tributaria di primo e secondo grado</w:t>
      </w:r>
      <w:r w:rsidR="00E74FB8">
        <w:t xml:space="preserve">, </w:t>
      </w:r>
      <w:r w:rsidR="004557AF">
        <w:t>CTR Venezia, CTR Firenze, CTR Bologna, CTR Genova, CTR Trent</w:t>
      </w:r>
      <w:r w:rsidR="00E74FB8">
        <w:t xml:space="preserve">o, per citarne alcune, </w:t>
      </w:r>
      <w:r w:rsidR="00E42FD8">
        <w:t xml:space="preserve"> si sono espresse</w:t>
      </w:r>
      <w:r w:rsidR="004557AF">
        <w:t xml:space="preserve"> in questo senso </w:t>
      </w:r>
      <w:r w:rsidR="00E42FD8">
        <w:t xml:space="preserve">in regime di ICP, </w:t>
      </w:r>
      <w:r w:rsidR="004557AF">
        <w:t xml:space="preserve">mentre </w:t>
      </w:r>
      <w:r w:rsidR="00E42FD8">
        <w:t>alcuni Giudici di Pace</w:t>
      </w:r>
      <w:r w:rsidR="00E74FB8">
        <w:t xml:space="preserve">, </w:t>
      </w:r>
      <w:r w:rsidR="00F20AF6">
        <w:t>Savona</w:t>
      </w:r>
      <w:r w:rsidR="00E74FB8">
        <w:t xml:space="preserve"> e </w:t>
      </w:r>
      <w:r w:rsidR="00F20AF6">
        <w:t>Treviso</w:t>
      </w:r>
      <w:r w:rsidR="00E74FB8">
        <w:t>,</w:t>
      </w:r>
      <w:r w:rsidR="00E42FD8">
        <w:t xml:space="preserve"> hanno </w:t>
      </w:r>
      <w:r w:rsidR="000150C3">
        <w:t xml:space="preserve">emesso </w:t>
      </w:r>
      <w:r w:rsidR="00F20AF6">
        <w:t xml:space="preserve">recentissime </w:t>
      </w:r>
      <w:r w:rsidR="000150C3">
        <w:t xml:space="preserve">sentenze dello stesso tenore </w:t>
      </w:r>
      <w:r w:rsidR="00E42FD8">
        <w:t>in materia di Canone Unico.</w:t>
      </w:r>
    </w:p>
    <w:p w14:paraId="7957C427" w14:textId="7D1154E9" w:rsidR="006E4B0D" w:rsidRDefault="006E4B0D" w:rsidP="00C07F32">
      <w:pPr>
        <w:jc w:val="both"/>
      </w:pPr>
      <w:r>
        <w:t xml:space="preserve">Di regola le insegne d’esercizio sono </w:t>
      </w:r>
      <w:r w:rsidR="0004607F">
        <w:t xml:space="preserve">rappresentate da </w:t>
      </w:r>
      <w:r>
        <w:t xml:space="preserve">mezzi </w:t>
      </w:r>
      <w:r w:rsidR="0004607F">
        <w:t xml:space="preserve">pubblicitari </w:t>
      </w:r>
      <w:r>
        <w:t xml:space="preserve">autonomi tra loro e posizionati su vetrine, muri e altre ubicazioni nel contesto di un esercizio commerciale. Svolgono una funzione di individuazione dell’attività e possono svilupparsi anche </w:t>
      </w:r>
      <w:r w:rsidR="00636A55">
        <w:t>su più lati dell’</w:t>
      </w:r>
      <w:r w:rsidR="00E42FD8">
        <w:t>esercizio commerciale</w:t>
      </w:r>
      <w:r w:rsidR="00636A55">
        <w:t xml:space="preserve">. Tipicamente infatti </w:t>
      </w:r>
      <w:r w:rsidR="00636A55" w:rsidRPr="00636A55">
        <w:t>le insegne sono collocate su singoli spazi con modalità libere</w:t>
      </w:r>
      <w:r w:rsidR="00E42FD8">
        <w:t xml:space="preserve">, </w:t>
      </w:r>
      <w:r w:rsidR="00636A55" w:rsidRPr="00636A55">
        <w:t>tanto che ognuna si presenta autosufficiente rispetto alle altre con effetto complessivo di accrescimento della portata pubblicitaria. L’unico legame è quello, comune a tutte le pluralità di insegne di esercizio, di dare più visibilità all’attività svolta.</w:t>
      </w:r>
    </w:p>
    <w:p w14:paraId="0B241D07" w14:textId="56F95B61" w:rsidR="00636A55" w:rsidRDefault="00636A55" w:rsidP="00C07F32">
      <w:pPr>
        <w:jc w:val="both"/>
      </w:pPr>
      <w:r>
        <w:t xml:space="preserve">Per poter rientrare </w:t>
      </w:r>
      <w:r w:rsidR="00437520">
        <w:t xml:space="preserve">invece </w:t>
      </w:r>
      <w:r>
        <w:t xml:space="preserve">nell’alveo della misurazione della superficie effettiva sommando le diverse </w:t>
      </w:r>
      <w:r w:rsidR="0004607F">
        <w:t>esposizioni</w:t>
      </w:r>
      <w:r>
        <w:t xml:space="preserve"> come unico mezzo pubblicitario, </w:t>
      </w:r>
      <w:r w:rsidR="00F20AF6">
        <w:t>sarebbe</w:t>
      </w:r>
      <w:r>
        <w:t xml:space="preserve"> necessario che </w:t>
      </w:r>
      <w:r w:rsidR="00E42FD8">
        <w:t>i</w:t>
      </w:r>
      <w:r>
        <w:t xml:space="preserve"> mezzi </w:t>
      </w:r>
      <w:r w:rsidR="00E42FD8">
        <w:t>in questi</w:t>
      </w:r>
      <w:r w:rsidR="00224850">
        <w:t xml:space="preserve">one </w:t>
      </w:r>
      <w:r w:rsidRPr="00636A55">
        <w:t>presentino un collegamento strumentale inscindibile fra loro</w:t>
      </w:r>
      <w:r>
        <w:t xml:space="preserve">, elemento fondamentale, </w:t>
      </w:r>
      <w:r w:rsidR="00437520">
        <w:t xml:space="preserve">che caratterizza </w:t>
      </w:r>
      <w:r>
        <w:t>i vari mezzi pubblicitari</w:t>
      </w:r>
      <w:r w:rsidR="00384983">
        <w:t>. N</w:t>
      </w:r>
      <w:r>
        <w:t xml:space="preserve">on </w:t>
      </w:r>
      <w:r w:rsidR="00384983">
        <w:t>si può basare l’utilizzo di questo criterio</w:t>
      </w:r>
      <w:r>
        <w:t xml:space="preserve"> unicamente </w:t>
      </w:r>
      <w:r w:rsidR="00384983">
        <w:t>con la</w:t>
      </w:r>
      <w:r>
        <w:t xml:space="preserve"> riconducibilità del messaggio </w:t>
      </w:r>
      <w:r>
        <w:lastRenderedPageBreak/>
        <w:t>pubblicitario allo stesso soggetto passivo.</w:t>
      </w:r>
      <w:r w:rsidR="000F4AF1">
        <w:t xml:space="preserve"> Così facendo si snaturerebbe </w:t>
      </w:r>
      <w:r w:rsidR="00384983">
        <w:t>ingiustificatamente</w:t>
      </w:r>
      <w:r w:rsidR="00F20AF6">
        <w:t xml:space="preserve"> </w:t>
      </w:r>
      <w:r w:rsidR="000F4AF1">
        <w:t>il criterio generale di arrotondamento delle superfici imponibili</w:t>
      </w:r>
      <w:r w:rsidR="00F20AF6">
        <w:t>.</w:t>
      </w:r>
    </w:p>
    <w:p w14:paraId="5ACB2A97" w14:textId="3D10AADB" w:rsidR="00C07F32" w:rsidRDefault="00611076" w:rsidP="00224850">
      <w:pPr>
        <w:jc w:val="both"/>
      </w:pPr>
      <w:r>
        <w:t xml:space="preserve">In definitiva, tutte le volte che, pur ricorrendo i requisiti </w:t>
      </w:r>
      <w:r w:rsidRPr="00611076">
        <w:t xml:space="preserve">dell'identico contenuto e della riferibilità al medesimo soggetto, le esposizioni pubblicitarie non sono in connessione tra loro, da rendere evidente e percepibile il collegamento logico funzionale e inscindibile esistente tra </w:t>
      </w:r>
      <w:r w:rsidR="00224850">
        <w:t>le stesse</w:t>
      </w:r>
      <w:r>
        <w:t>, non potranno essere sommate tra loro senza prima procedere al</w:t>
      </w:r>
      <w:r w:rsidR="00224850">
        <w:t xml:space="preserve"> singolo </w:t>
      </w:r>
      <w:r>
        <w:t xml:space="preserve">arrotondamento su ciascun impianto. </w:t>
      </w:r>
      <w:r w:rsidR="00224850">
        <w:t>E, considerato che d</w:t>
      </w:r>
      <w:r>
        <w:t xml:space="preserve">i regola le insegne d’esercizio, per loro stessa natura, realizzano in modo disgiunto tra loro il fine di </w:t>
      </w:r>
      <w:r w:rsidRPr="00611076">
        <w:t>contraddistinguere la sede ove si svolge l'attività</w:t>
      </w:r>
      <w:r w:rsidR="00224850">
        <w:t xml:space="preserve">, significa che l’unico criterio corretto per definire il limite dei mq 5,00 di esenzione è quello generale di misurazione delle singole superfici attratte dal </w:t>
      </w:r>
      <w:r w:rsidR="000F4AF1">
        <w:t>presupposto, arrotondate</w:t>
      </w:r>
      <w:r w:rsidR="00224850">
        <w:t xml:space="preserve"> secondo i criteri fissati nel vigente regolamento comunale.  </w:t>
      </w:r>
    </w:p>
    <w:p w14:paraId="437771BE" w14:textId="6998CA94" w:rsidR="00DC7023" w:rsidRDefault="00DC7023" w:rsidP="00224850">
      <w:pPr>
        <w:jc w:val="both"/>
      </w:pPr>
      <w:r>
        <w:t>Ripercussioni sulla gestione del Canone</w:t>
      </w:r>
    </w:p>
    <w:p w14:paraId="2CD3D266" w14:textId="292B8C96" w:rsidR="00DC7023" w:rsidRDefault="00DC7023" w:rsidP="00224850">
      <w:pPr>
        <w:jc w:val="both"/>
      </w:pPr>
      <w:r>
        <w:t xml:space="preserve">Questo doppio binario di calcolo sulla definizione della corretta metratura delle insegne d’esercizio, </w:t>
      </w:r>
      <w:r w:rsidR="00384983">
        <w:t>ha portato, per</w:t>
      </w:r>
      <w:r>
        <w:t xml:space="preserve"> casi che </w:t>
      </w:r>
      <w:r w:rsidR="00935736">
        <w:t>presentano identiche</w:t>
      </w:r>
      <w:r>
        <w:t xml:space="preserve"> situazioni espositive, </w:t>
      </w:r>
      <w:r w:rsidR="00F20AF6">
        <w:t xml:space="preserve">ad </w:t>
      </w:r>
      <w:r>
        <w:t>un trattamento opposto a seconda del territorio in cui vengono effettuate.</w:t>
      </w:r>
    </w:p>
    <w:p w14:paraId="32E5496F" w14:textId="007DB383" w:rsidR="000A07F7" w:rsidRDefault="00DC7023" w:rsidP="00224850">
      <w:pPr>
        <w:jc w:val="both"/>
      </w:pPr>
      <w:r>
        <w:t xml:space="preserve">Prendiamo l’esempio di un </w:t>
      </w:r>
      <w:r w:rsidR="000A07F7">
        <w:t>B</w:t>
      </w:r>
      <w:r>
        <w:t xml:space="preserve">anca che espone sia </w:t>
      </w:r>
      <w:r w:rsidR="000A07F7">
        <w:t xml:space="preserve">nella filiale del </w:t>
      </w:r>
      <w:r>
        <w:t>Comune A che nel</w:t>
      </w:r>
      <w:r w:rsidR="000A07F7">
        <w:t>la filiale del</w:t>
      </w:r>
      <w:r>
        <w:t xml:space="preserve"> Comune B</w:t>
      </w:r>
      <w:r w:rsidR="000A07F7">
        <w:t xml:space="preserve">, 4 cassonetti luminosi che identificano l’istituto di credito, ciascuno </w:t>
      </w:r>
      <w:r w:rsidR="00935736">
        <w:t xml:space="preserve">dei quali ha una </w:t>
      </w:r>
      <w:r w:rsidR="000A07F7">
        <w:t>superficie</w:t>
      </w:r>
      <w:r w:rsidR="00935736">
        <w:t xml:space="preserve"> di </w:t>
      </w:r>
      <w:r w:rsidR="00C32BA5">
        <w:t>metri 1</w:t>
      </w:r>
      <w:r w:rsidR="000A07F7">
        <w:t>,50 x 0,80</w:t>
      </w:r>
      <w:r w:rsidR="00935736">
        <w:t>.</w:t>
      </w:r>
    </w:p>
    <w:p w14:paraId="39C71E4D" w14:textId="4914B653" w:rsidR="00E94F61" w:rsidRDefault="000A07F7" w:rsidP="00224850">
      <w:pPr>
        <w:jc w:val="both"/>
      </w:pPr>
      <w:r>
        <w:t>Nel Comune A</w:t>
      </w:r>
      <w:r w:rsidR="00935736">
        <w:t>,</w:t>
      </w:r>
      <w:r>
        <w:t xml:space="preserve"> che adotta il criterio di misurazione fiscale</w:t>
      </w:r>
      <w:r w:rsidR="00935736">
        <w:t>,</w:t>
      </w:r>
      <w:r>
        <w:t xml:space="preserve"> dovrà </w:t>
      </w:r>
      <w:r w:rsidR="00C32BA5">
        <w:t>essere corrisposto</w:t>
      </w:r>
      <w:r>
        <w:t xml:space="preserve"> il </w:t>
      </w:r>
      <w:r w:rsidR="00935736">
        <w:t xml:space="preserve">Canone calcolato </w:t>
      </w:r>
      <w:r>
        <w:t>per complessivi mq 6,00 (4 insegne x mq 1,50 ciascuna</w:t>
      </w:r>
      <w:r w:rsidR="00935736">
        <w:t xml:space="preserve"> x tariffa ad anno solare</w:t>
      </w:r>
      <w:r>
        <w:t xml:space="preserve">), nel Comune B, che invece segue le dinamiche previste per i mezzi posti in connessione tra loro, saranno considerati esenti dal pagamento in quanto la superficie complessiva </w:t>
      </w:r>
      <w:r w:rsidR="00935736">
        <w:t xml:space="preserve">dei quattro cassonetti </w:t>
      </w:r>
      <w:r>
        <w:t>non supera la soglia dei mq 5,00 (4 insegne x mq 1,20 = 4,80)</w:t>
      </w:r>
      <w:r w:rsidR="00E94F61">
        <w:t>.</w:t>
      </w:r>
    </w:p>
    <w:p w14:paraId="5A8724A2" w14:textId="0F7CC870" w:rsidR="00DC7023" w:rsidRDefault="00E94F61" w:rsidP="00224850">
      <w:pPr>
        <w:jc w:val="both"/>
      </w:pPr>
      <w:r>
        <w:t xml:space="preserve">È evidente </w:t>
      </w:r>
      <w:r w:rsidR="006220E2">
        <w:t>dunque che</w:t>
      </w:r>
      <w:r>
        <w:t xml:space="preserve"> su quest</w:t>
      </w:r>
      <w:r w:rsidR="00935736">
        <w:t>a</w:t>
      </w:r>
      <w:r>
        <w:t xml:space="preserve"> tema</w:t>
      </w:r>
      <w:r w:rsidR="00935736">
        <w:t>tica</w:t>
      </w:r>
      <w:r>
        <w:t xml:space="preserve">, servirebbe un intervento </w:t>
      </w:r>
      <w:r w:rsidR="00935736">
        <w:t>chiarificatore</w:t>
      </w:r>
      <w:r>
        <w:t xml:space="preserve"> </w:t>
      </w:r>
      <w:r w:rsidR="00E9211E">
        <w:t xml:space="preserve">a livello normativo </w:t>
      </w:r>
      <w:r>
        <w:t xml:space="preserve">che </w:t>
      </w:r>
      <w:r w:rsidR="00E9211E">
        <w:t>risolva</w:t>
      </w:r>
      <w:r w:rsidR="00935736">
        <w:t xml:space="preserve"> </w:t>
      </w:r>
      <w:r w:rsidR="00E9211E">
        <w:t xml:space="preserve">la problematica e soprattutto uniformi il criterio di applicazione su tutto il territorio nazionale, </w:t>
      </w:r>
      <w:r w:rsidR="00C32BA5">
        <w:t>eliminando</w:t>
      </w:r>
      <w:r w:rsidR="00E9211E">
        <w:t xml:space="preserve"> </w:t>
      </w:r>
      <w:r w:rsidR="00F20AF6">
        <w:t>questa fastidiosa</w:t>
      </w:r>
      <w:r w:rsidR="00E9211E">
        <w:t xml:space="preserve"> differenziazione di trattamento come da esempio esposto pocanzi. </w:t>
      </w:r>
    </w:p>
    <w:sectPr w:rsidR="00DC7023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E8D"/>
    <w:rsid w:val="000150C3"/>
    <w:rsid w:val="0004607F"/>
    <w:rsid w:val="00095B38"/>
    <w:rsid w:val="000A07F7"/>
    <w:rsid w:val="000B2E8D"/>
    <w:rsid w:val="000F4AF1"/>
    <w:rsid w:val="00143EAB"/>
    <w:rsid w:val="00170806"/>
    <w:rsid w:val="00202C00"/>
    <w:rsid w:val="00224850"/>
    <w:rsid w:val="00297BB0"/>
    <w:rsid w:val="003726D3"/>
    <w:rsid w:val="00384983"/>
    <w:rsid w:val="003B7A13"/>
    <w:rsid w:val="00422022"/>
    <w:rsid w:val="00427967"/>
    <w:rsid w:val="00437520"/>
    <w:rsid w:val="004557AF"/>
    <w:rsid w:val="004A32BA"/>
    <w:rsid w:val="004A3E6C"/>
    <w:rsid w:val="004E7E81"/>
    <w:rsid w:val="005B040D"/>
    <w:rsid w:val="005E2629"/>
    <w:rsid w:val="00611076"/>
    <w:rsid w:val="006220E2"/>
    <w:rsid w:val="00636A55"/>
    <w:rsid w:val="006E4B0D"/>
    <w:rsid w:val="00795074"/>
    <w:rsid w:val="007C3E27"/>
    <w:rsid w:val="007D029D"/>
    <w:rsid w:val="00935736"/>
    <w:rsid w:val="009A32A1"/>
    <w:rsid w:val="00A14478"/>
    <w:rsid w:val="00A25F80"/>
    <w:rsid w:val="00AA37CB"/>
    <w:rsid w:val="00AA4A3E"/>
    <w:rsid w:val="00AB59A3"/>
    <w:rsid w:val="00C07F32"/>
    <w:rsid w:val="00C32BA5"/>
    <w:rsid w:val="00D15EE0"/>
    <w:rsid w:val="00D943B0"/>
    <w:rsid w:val="00DC179E"/>
    <w:rsid w:val="00DC7023"/>
    <w:rsid w:val="00E42FD8"/>
    <w:rsid w:val="00E45384"/>
    <w:rsid w:val="00E74FB8"/>
    <w:rsid w:val="00E9211E"/>
    <w:rsid w:val="00E94F61"/>
    <w:rsid w:val="00ED5471"/>
    <w:rsid w:val="00F20AF6"/>
    <w:rsid w:val="00F92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2CB5E2"/>
  <w15:chartTrackingRefBased/>
  <w15:docId w15:val="{BB903BC2-4A6D-4419-924A-37B47923CD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894</TotalTime>
  <Pages>3</Pages>
  <Words>1571</Words>
  <Characters>8958</Characters>
  <Application>Microsoft Office Word</Application>
  <DocSecurity>0</DocSecurity>
  <Lines>74</Lines>
  <Paragraphs>21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Merciari</cp:lastModifiedBy>
  <cp:revision>24</cp:revision>
  <dcterms:created xsi:type="dcterms:W3CDTF">2023-02-22T08:11:00Z</dcterms:created>
  <dcterms:modified xsi:type="dcterms:W3CDTF">2023-02-25T11:35:00Z</dcterms:modified>
</cp:coreProperties>
</file>