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A97FC" w14:textId="4A4E24FE" w:rsidR="00FC5373" w:rsidRDefault="00FC5373" w:rsidP="00AC151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Titolo: il giusto calcolo del Canone Unico per </w:t>
      </w:r>
      <w:r w:rsidR="00EC720A">
        <w:rPr>
          <w:rFonts w:ascii="Times New Roman" w:hAnsi="Times New Roman" w:cs="Times New Roman"/>
          <w:sz w:val="24"/>
          <w:szCs w:val="24"/>
        </w:rPr>
        <w:t>le Antenne e i ripetitori. Come applicare correttamente  il comma 831/bis  articolo 1 Legge 160/2019</w:t>
      </w:r>
    </w:p>
    <w:p w14:paraId="5D493F96" w14:textId="223C9346" w:rsidR="000B7DCC" w:rsidRDefault="002C65F8" w:rsidP="00AC151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Nell’ambito della disciplina del Canone Unico, il Legislatore </w:t>
      </w:r>
      <w:r w:rsidR="00AC1512">
        <w:rPr>
          <w:rFonts w:ascii="Times New Roman" w:hAnsi="Times New Roman" w:cs="Times New Roman"/>
          <w:sz w:val="24"/>
          <w:szCs w:val="24"/>
        </w:rPr>
        <w:t xml:space="preserve">nel </w:t>
      </w:r>
      <w:r w:rsidR="000B7DCC">
        <w:rPr>
          <w:rFonts w:ascii="Times New Roman" w:hAnsi="Times New Roman" w:cs="Times New Roman"/>
          <w:sz w:val="24"/>
          <w:szCs w:val="24"/>
        </w:rPr>
        <w:t xml:space="preserve">luglio </w:t>
      </w:r>
      <w:r w:rsidR="00AC1512">
        <w:rPr>
          <w:rFonts w:ascii="Times New Roman" w:hAnsi="Times New Roman" w:cs="Times New Roman"/>
          <w:sz w:val="24"/>
          <w:szCs w:val="24"/>
        </w:rPr>
        <w:t xml:space="preserve">2021 </w:t>
      </w:r>
      <w:r>
        <w:rPr>
          <w:rFonts w:ascii="Times New Roman" w:hAnsi="Times New Roman" w:cs="Times New Roman"/>
          <w:sz w:val="24"/>
          <w:szCs w:val="24"/>
        </w:rPr>
        <w:t>ha introdotto</w:t>
      </w:r>
      <w:r w:rsidR="000B7DCC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C1512">
        <w:rPr>
          <w:rFonts w:ascii="Times New Roman" w:hAnsi="Times New Roman" w:cs="Times New Roman"/>
          <w:sz w:val="24"/>
          <w:szCs w:val="24"/>
        </w:rPr>
        <w:t>c</w:t>
      </w:r>
      <w:r w:rsidR="00AC1512" w:rsidRPr="00AC1512">
        <w:rPr>
          <w:rFonts w:ascii="Times New Roman" w:hAnsi="Times New Roman" w:cs="Times New Roman"/>
          <w:sz w:val="24"/>
          <w:szCs w:val="24"/>
        </w:rPr>
        <w:t>on la conversione</w:t>
      </w:r>
      <w:r w:rsidR="00AC1512">
        <w:rPr>
          <w:rFonts w:ascii="Times New Roman" w:hAnsi="Times New Roman" w:cs="Times New Roman"/>
          <w:sz w:val="24"/>
          <w:szCs w:val="24"/>
        </w:rPr>
        <w:t xml:space="preserve"> in </w:t>
      </w:r>
      <w:r w:rsidR="000B7DCC">
        <w:rPr>
          <w:rFonts w:ascii="Times New Roman" w:hAnsi="Times New Roman" w:cs="Times New Roman"/>
          <w:sz w:val="24"/>
          <w:szCs w:val="24"/>
        </w:rPr>
        <w:t>l</w:t>
      </w:r>
      <w:r w:rsidR="00AC1512">
        <w:rPr>
          <w:rFonts w:ascii="Times New Roman" w:hAnsi="Times New Roman" w:cs="Times New Roman"/>
          <w:sz w:val="24"/>
          <w:szCs w:val="24"/>
        </w:rPr>
        <w:t xml:space="preserve">egge </w:t>
      </w:r>
      <w:r w:rsidR="00AC1512" w:rsidRPr="00AC1512">
        <w:rPr>
          <w:rFonts w:ascii="Times New Roman" w:hAnsi="Times New Roman" w:cs="Times New Roman"/>
          <w:sz w:val="24"/>
          <w:szCs w:val="24"/>
        </w:rPr>
        <w:t>del D</w:t>
      </w:r>
      <w:r w:rsidR="000B7DCC">
        <w:rPr>
          <w:rFonts w:ascii="Times New Roman" w:hAnsi="Times New Roman" w:cs="Times New Roman"/>
          <w:sz w:val="24"/>
          <w:szCs w:val="24"/>
        </w:rPr>
        <w:t>.</w:t>
      </w:r>
      <w:r w:rsidR="00AC1512" w:rsidRPr="00AC1512">
        <w:rPr>
          <w:rFonts w:ascii="Times New Roman" w:hAnsi="Times New Roman" w:cs="Times New Roman"/>
          <w:sz w:val="24"/>
          <w:szCs w:val="24"/>
        </w:rPr>
        <w:t>L</w:t>
      </w:r>
      <w:r w:rsidR="000B7DCC">
        <w:rPr>
          <w:rFonts w:ascii="Times New Roman" w:hAnsi="Times New Roman" w:cs="Times New Roman"/>
          <w:sz w:val="24"/>
          <w:szCs w:val="24"/>
        </w:rPr>
        <w:t>.</w:t>
      </w:r>
      <w:r w:rsidR="00AC1512" w:rsidRPr="00AC1512">
        <w:rPr>
          <w:rFonts w:ascii="Times New Roman" w:hAnsi="Times New Roman" w:cs="Times New Roman"/>
          <w:sz w:val="24"/>
          <w:szCs w:val="24"/>
        </w:rPr>
        <w:t xml:space="preserve"> n. 77 una importante novità nella</w:t>
      </w:r>
      <w:r w:rsidR="00AC1512">
        <w:rPr>
          <w:rFonts w:ascii="Times New Roman" w:hAnsi="Times New Roman" w:cs="Times New Roman"/>
          <w:sz w:val="24"/>
          <w:szCs w:val="24"/>
        </w:rPr>
        <w:t xml:space="preserve"> </w:t>
      </w:r>
      <w:r w:rsidR="00AC1512" w:rsidRPr="00AC1512">
        <w:rPr>
          <w:rFonts w:ascii="Times New Roman" w:hAnsi="Times New Roman" w:cs="Times New Roman"/>
          <w:sz w:val="24"/>
          <w:szCs w:val="24"/>
        </w:rPr>
        <w:t>disciplina del</w:t>
      </w:r>
      <w:r w:rsidR="000B7DCC">
        <w:rPr>
          <w:rFonts w:ascii="Times New Roman" w:hAnsi="Times New Roman" w:cs="Times New Roman"/>
          <w:sz w:val="24"/>
          <w:szCs w:val="24"/>
        </w:rPr>
        <w:t>le occupazioni realizzate dagli operatori che forniscono servizi di reti e infrastrutture di comunicazione elettroniche</w:t>
      </w:r>
      <w:r w:rsidR="00AC1512" w:rsidRPr="00AC1512">
        <w:rPr>
          <w:rFonts w:ascii="Times New Roman" w:hAnsi="Times New Roman" w:cs="Times New Roman"/>
          <w:sz w:val="24"/>
          <w:szCs w:val="24"/>
        </w:rPr>
        <w:t xml:space="preserve">. Si tratta del comma 831-bis </w:t>
      </w:r>
      <w:r w:rsidR="000B7DCC">
        <w:rPr>
          <w:rFonts w:ascii="Times New Roman" w:hAnsi="Times New Roman" w:cs="Times New Roman"/>
          <w:sz w:val="24"/>
          <w:szCs w:val="24"/>
        </w:rPr>
        <w:t xml:space="preserve">articolo 1 Legge 160/2019, </w:t>
      </w:r>
      <w:r w:rsidR="00AC1512" w:rsidRPr="00AC1512">
        <w:rPr>
          <w:rFonts w:ascii="Times New Roman" w:hAnsi="Times New Roman" w:cs="Times New Roman"/>
          <w:sz w:val="24"/>
          <w:szCs w:val="24"/>
        </w:rPr>
        <w:t>con il quale si è chiuso il cerchio sulla disciplina</w:t>
      </w:r>
      <w:r w:rsidR="000B7DCC">
        <w:rPr>
          <w:rFonts w:ascii="Times New Roman" w:hAnsi="Times New Roman" w:cs="Times New Roman"/>
          <w:sz w:val="24"/>
          <w:szCs w:val="24"/>
        </w:rPr>
        <w:t xml:space="preserve"> </w:t>
      </w:r>
      <w:r w:rsidR="00AC1512" w:rsidRPr="00AC1512">
        <w:rPr>
          <w:rFonts w:ascii="Times New Roman" w:hAnsi="Times New Roman" w:cs="Times New Roman"/>
          <w:sz w:val="24"/>
          <w:szCs w:val="24"/>
        </w:rPr>
        <w:t xml:space="preserve">delle occupazioni realizzate </w:t>
      </w:r>
      <w:r w:rsidR="000B7DCC">
        <w:rPr>
          <w:rFonts w:ascii="Times New Roman" w:hAnsi="Times New Roman" w:cs="Times New Roman"/>
          <w:sz w:val="24"/>
          <w:szCs w:val="24"/>
        </w:rPr>
        <w:t xml:space="preserve">per i </w:t>
      </w:r>
      <w:r w:rsidR="00AC1512" w:rsidRPr="00AC1512">
        <w:rPr>
          <w:rFonts w:ascii="Times New Roman" w:hAnsi="Times New Roman" w:cs="Times New Roman"/>
          <w:sz w:val="24"/>
          <w:szCs w:val="24"/>
        </w:rPr>
        <w:t xml:space="preserve">servizi di pubblica utilità. </w:t>
      </w:r>
    </w:p>
    <w:p w14:paraId="61E89B5A" w14:textId="2CC90094" w:rsidR="0015562A" w:rsidRDefault="000B7DCC" w:rsidP="00492098">
      <w:pPr>
        <w:jc w:val="both"/>
        <w:rPr>
          <w:i/>
          <w:iCs/>
        </w:rPr>
      </w:pPr>
      <w:r>
        <w:rPr>
          <w:rFonts w:ascii="Times New Roman" w:hAnsi="Times New Roman" w:cs="Times New Roman"/>
          <w:sz w:val="24"/>
          <w:szCs w:val="24"/>
        </w:rPr>
        <w:t>Come noto, l</w:t>
      </w:r>
      <w:r w:rsidR="00AC1512" w:rsidRPr="00AC1512">
        <w:rPr>
          <w:rFonts w:ascii="Times New Roman" w:hAnsi="Times New Roman" w:cs="Times New Roman"/>
          <w:sz w:val="24"/>
          <w:szCs w:val="24"/>
        </w:rPr>
        <w:t xml:space="preserve">a nuova norma </w:t>
      </w:r>
      <w:r>
        <w:rPr>
          <w:rFonts w:ascii="Times New Roman" w:hAnsi="Times New Roman" w:cs="Times New Roman"/>
          <w:sz w:val="24"/>
          <w:szCs w:val="24"/>
        </w:rPr>
        <w:t xml:space="preserve">ha imposto  </w:t>
      </w:r>
      <w:r w:rsidR="00AC1512" w:rsidRPr="00AC1512">
        <w:rPr>
          <w:rFonts w:ascii="Times New Roman" w:hAnsi="Times New Roman" w:cs="Times New Roman"/>
          <w:sz w:val="24"/>
          <w:szCs w:val="24"/>
        </w:rPr>
        <w:t>l’applicazione della tariffa forfettaria per tutte le occupazioni realizzate da infrastrutture di comunicazione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C1512" w:rsidRPr="00AC1512">
        <w:rPr>
          <w:rFonts w:ascii="Times New Roman" w:hAnsi="Times New Roman" w:cs="Times New Roman"/>
          <w:sz w:val="24"/>
          <w:szCs w:val="24"/>
        </w:rPr>
        <w:t xml:space="preserve">elettronica che non sono già attratte dalla previsione contenuta nel </w:t>
      </w:r>
      <w:r>
        <w:rPr>
          <w:rFonts w:ascii="Times New Roman" w:hAnsi="Times New Roman" w:cs="Times New Roman"/>
          <w:sz w:val="24"/>
          <w:szCs w:val="24"/>
        </w:rPr>
        <w:t xml:space="preserve">precedente </w:t>
      </w:r>
      <w:r w:rsidR="00AC1512" w:rsidRPr="00AC1512">
        <w:rPr>
          <w:rFonts w:ascii="Times New Roman" w:hAnsi="Times New Roman" w:cs="Times New Roman"/>
          <w:sz w:val="24"/>
          <w:szCs w:val="24"/>
        </w:rPr>
        <w:t>comma 83</w:t>
      </w:r>
      <w:r>
        <w:rPr>
          <w:rFonts w:ascii="Times New Roman" w:hAnsi="Times New Roman" w:cs="Times New Roman"/>
          <w:sz w:val="24"/>
          <w:szCs w:val="24"/>
        </w:rPr>
        <w:t xml:space="preserve">1, ossia quelle </w:t>
      </w:r>
      <w:r w:rsidR="00AC1512" w:rsidRPr="00AC1512">
        <w:rPr>
          <w:rFonts w:ascii="Times New Roman" w:hAnsi="Times New Roman" w:cs="Times New Roman"/>
          <w:sz w:val="24"/>
          <w:szCs w:val="24"/>
        </w:rPr>
        <w:t>occupazioni di sottosuolo realizzate con cavi e conduttore</w:t>
      </w:r>
      <w:r w:rsidR="00492098">
        <w:rPr>
          <w:rFonts w:ascii="Times New Roman" w:hAnsi="Times New Roman" w:cs="Times New Roman"/>
          <w:sz w:val="24"/>
          <w:szCs w:val="24"/>
        </w:rPr>
        <w:t>.</w:t>
      </w:r>
      <w:r w:rsidR="00AC1512">
        <w:rPr>
          <w:rFonts w:ascii="Times New Roman" w:hAnsi="Times New Roman" w:cs="Times New Roman"/>
          <w:sz w:val="24"/>
          <w:szCs w:val="24"/>
        </w:rPr>
        <w:t xml:space="preserve"> </w:t>
      </w:r>
      <w:r w:rsidR="00492098">
        <w:rPr>
          <w:rFonts w:ascii="Times New Roman" w:hAnsi="Times New Roman" w:cs="Times New Roman"/>
          <w:sz w:val="24"/>
          <w:szCs w:val="24"/>
        </w:rPr>
        <w:t xml:space="preserve">La norma prevede: </w:t>
      </w:r>
      <w:r w:rsidR="0015562A">
        <w:rPr>
          <w:i/>
          <w:iCs/>
        </w:rPr>
        <w:t xml:space="preserve">“831-bis. </w:t>
      </w:r>
      <w:r w:rsidR="0015562A" w:rsidRPr="00023039">
        <w:rPr>
          <w:i/>
          <w:iCs/>
          <w:u w:val="single"/>
        </w:rPr>
        <w:t>Gli operatori che forniscono i servizi di pubblica utilità di reti e infrastrutture di comunicazione elettronica di cui al codice delle comunicazioni elettroniche, di cui al decreto legislativo 1° agosto 2003, n. 259, e che non rientrano nella previsione di cui al comma 831 sono soggetti a un canone pari a 800 euro per ogni impianto insistente sul territorio di ciascun ente.</w:t>
      </w:r>
      <w:r w:rsidR="0015562A">
        <w:rPr>
          <w:i/>
          <w:iCs/>
        </w:rPr>
        <w:t xml:space="preserve"> Il canone non è modificabile ai sensi del comma 817 e ad esso non è applicabile alcun altro tipo di onere finanziario, reale o contributo, comunque denominato, di qualsiasi natura e per qualsiasi ragione o a qualsiasi titolo richiesto, ai sensi dell’articolo 93 del decreto legislativo n. 259 del 2003. I relativi importi sono rivalutati annualmente in base all’indice ISTAT dei prezzi al consumo rilevati al 31 dicembre dell’anno precedente. Il versamento del canone è effettuato entro il 30 aprile di ciascun anno in unica soluzione attraverso la piattaforma di cui all’articolo 5 del codice di cui al decreto legislativo 7 marzo 2005, n. 82″.</w:t>
      </w:r>
    </w:p>
    <w:p w14:paraId="339CC53B" w14:textId="3CB434A7" w:rsidR="0015562A" w:rsidRDefault="0015562A" w:rsidP="0015562A">
      <w:pPr>
        <w:jc w:val="both"/>
        <w:rPr>
          <w:rFonts w:ascii="Times New Roman" w:hAnsi="Times New Roman" w:cs="Times New Roman"/>
          <w:sz w:val="24"/>
          <w:szCs w:val="24"/>
        </w:rPr>
      </w:pPr>
      <w:r w:rsidRPr="00277005">
        <w:rPr>
          <w:rFonts w:ascii="Times New Roman" w:hAnsi="Times New Roman" w:cs="Times New Roman"/>
          <w:sz w:val="24"/>
          <w:szCs w:val="24"/>
        </w:rPr>
        <w:t>L’applicabilità del comma 831-bis  è</w:t>
      </w:r>
      <w:r w:rsidR="00492098">
        <w:rPr>
          <w:rFonts w:ascii="Times New Roman" w:hAnsi="Times New Roman" w:cs="Times New Roman"/>
          <w:sz w:val="24"/>
          <w:szCs w:val="24"/>
        </w:rPr>
        <w:t xml:space="preserve"> chiaramente </w:t>
      </w:r>
      <w:r w:rsidRPr="00277005">
        <w:rPr>
          <w:rFonts w:ascii="Times New Roman" w:hAnsi="Times New Roman" w:cs="Times New Roman"/>
          <w:sz w:val="24"/>
          <w:szCs w:val="24"/>
        </w:rPr>
        <w:t xml:space="preserve"> riservat</w:t>
      </w:r>
      <w:r w:rsidR="00492098">
        <w:rPr>
          <w:rFonts w:ascii="Times New Roman" w:hAnsi="Times New Roman" w:cs="Times New Roman"/>
          <w:sz w:val="24"/>
          <w:szCs w:val="24"/>
        </w:rPr>
        <w:t>a</w:t>
      </w:r>
      <w:r w:rsidRPr="00277005">
        <w:rPr>
          <w:rFonts w:ascii="Times New Roman" w:hAnsi="Times New Roman" w:cs="Times New Roman"/>
          <w:sz w:val="24"/>
          <w:szCs w:val="24"/>
        </w:rPr>
        <w:t xml:space="preserve"> alle occupazioni realizzate sul patrimonio indisponibile degli enti. L’ambito di applicazione della norma, è rivolto </w:t>
      </w:r>
      <w:r>
        <w:rPr>
          <w:rFonts w:ascii="Times New Roman" w:hAnsi="Times New Roman" w:cs="Times New Roman"/>
          <w:sz w:val="24"/>
          <w:szCs w:val="24"/>
        </w:rPr>
        <w:t xml:space="preserve">infatti </w:t>
      </w:r>
      <w:r w:rsidRPr="00277005">
        <w:rPr>
          <w:rFonts w:ascii="Times New Roman" w:hAnsi="Times New Roman" w:cs="Times New Roman"/>
          <w:sz w:val="24"/>
          <w:szCs w:val="24"/>
        </w:rPr>
        <w:t>esclusivamente agli impianti localizzati in aree ricadenti nel demanio o nel patrimonio indisponibile dell’Ente, così come disposto dallo stesso comma 819 della Legge 160/2019, presupposto legato poi all’art. 93 del d.lgs. 259/2003 ovvero al Codice delle comunicazioni elettroniche.</w:t>
      </w:r>
    </w:p>
    <w:p w14:paraId="6854B632" w14:textId="784C8D82" w:rsidR="006C2BEF" w:rsidRDefault="006C2BEF" w:rsidP="0015562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Dal testo normativa tuttavia non si comprende come calcolare il dovuto, se il riferimento per l’attribuzione della tariffa di 800 euro deve intendersi l’infrastruttura nel suo complesso, o se ogni impianto ospitato su un traliccio deve essere valutato come un oggetto rientrante nell’ambito di applicazione.</w:t>
      </w:r>
    </w:p>
    <w:p w14:paraId="2BDDAD3D" w14:textId="5E268B41" w:rsidR="006C2BEF" w:rsidRPr="00277005" w:rsidRDefault="006C2BEF" w:rsidP="0015562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Interrogativo che ad oggi non è stato ancora affrontato dalla giurisprudenza, ne dagli stessi uffici ministeriali o da altri soggetti istituzionali. </w:t>
      </w:r>
    </w:p>
    <w:p w14:paraId="204733BD" w14:textId="0F1DB549" w:rsidR="0015562A" w:rsidRDefault="00780CD3" w:rsidP="0015562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Tuttavia, s</w:t>
      </w:r>
      <w:r w:rsidR="0015562A">
        <w:rPr>
          <w:rFonts w:ascii="Times New Roman" w:hAnsi="Times New Roman" w:cs="Times New Roman"/>
          <w:sz w:val="24"/>
          <w:szCs w:val="24"/>
        </w:rPr>
        <w:t>eguendo un’interpretazione della norma e rifacendosi ai principi generali che hanno ispirato il prelievo del CUP,</w:t>
      </w:r>
      <w:r>
        <w:rPr>
          <w:rFonts w:ascii="Times New Roman" w:hAnsi="Times New Roman" w:cs="Times New Roman"/>
          <w:sz w:val="24"/>
          <w:szCs w:val="24"/>
        </w:rPr>
        <w:t xml:space="preserve"> e le disposizioni volute per l’applicazione del comma 831, </w:t>
      </w:r>
      <w:r w:rsidR="0015562A">
        <w:rPr>
          <w:rFonts w:ascii="Times New Roman" w:hAnsi="Times New Roman" w:cs="Times New Roman"/>
          <w:sz w:val="24"/>
          <w:szCs w:val="24"/>
        </w:rPr>
        <w:t xml:space="preserve"> si ritiene che il canone debba essere applicato per ciascun impianto, intendendo per impianto non il traliccio fisico, ma le singole antenne e ripetitori che svolgono autonomamente una funzione di sistema di trasmissione così come indicato dall’articolo 1 del </w:t>
      </w:r>
      <w:r w:rsidR="006C2BEF" w:rsidRPr="00277005">
        <w:rPr>
          <w:rFonts w:ascii="Times New Roman" w:hAnsi="Times New Roman" w:cs="Times New Roman"/>
          <w:sz w:val="24"/>
          <w:szCs w:val="24"/>
        </w:rPr>
        <w:t>Codice delle comunicazioni elettroniche</w:t>
      </w:r>
      <w:r w:rsidR="0015562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698A230" w14:textId="7AE94B11" w:rsidR="0015562A" w:rsidRDefault="0015562A" w:rsidP="0015562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Il soggetto passivo, a parere di chi scrive, sarà quindi individuato nella singola compagnia che utilizza l’antenna per trasmettere via etere il proprio segnale. I</w:t>
      </w:r>
      <w:r w:rsidRPr="00655E69">
        <w:rPr>
          <w:rFonts w:ascii="Times New Roman" w:hAnsi="Times New Roman" w:cs="Times New Roman"/>
          <w:sz w:val="24"/>
          <w:szCs w:val="24"/>
        </w:rPr>
        <w:t xml:space="preserve">l canone forfettario di euro 800,00 </w:t>
      </w:r>
      <w:r>
        <w:rPr>
          <w:rFonts w:ascii="Times New Roman" w:hAnsi="Times New Roman" w:cs="Times New Roman"/>
          <w:sz w:val="24"/>
          <w:szCs w:val="24"/>
        </w:rPr>
        <w:t xml:space="preserve">sarà </w:t>
      </w:r>
      <w:r w:rsidR="00780CD3">
        <w:rPr>
          <w:rFonts w:ascii="Times New Roman" w:hAnsi="Times New Roman" w:cs="Times New Roman"/>
          <w:sz w:val="24"/>
          <w:szCs w:val="24"/>
        </w:rPr>
        <w:t xml:space="preserve">di conseguenza </w:t>
      </w:r>
      <w:r w:rsidRPr="00655E69">
        <w:rPr>
          <w:rFonts w:ascii="Times New Roman" w:hAnsi="Times New Roman" w:cs="Times New Roman"/>
          <w:sz w:val="24"/>
          <w:szCs w:val="24"/>
        </w:rPr>
        <w:t xml:space="preserve">dovuto </w:t>
      </w:r>
      <w:r>
        <w:rPr>
          <w:rFonts w:ascii="Times New Roman" w:hAnsi="Times New Roman" w:cs="Times New Roman"/>
          <w:sz w:val="24"/>
          <w:szCs w:val="24"/>
        </w:rPr>
        <w:t>da ciascuna compagnia che ha posizionato un proprio impianto sull’infrastruttura.</w:t>
      </w:r>
    </w:p>
    <w:p w14:paraId="0893050D" w14:textId="64043393" w:rsidR="0015562A" w:rsidRPr="00B361E2" w:rsidRDefault="0015562A" w:rsidP="0015562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Potrebbe anche verificarsi l’ipotesi che la società che ha la concessione per il traliccio sul quale poi vengono posizioni i vari impianti di trasmissione, sia soggetto diverso rispetto alle compagnie che utilizzano </w:t>
      </w:r>
      <w:r w:rsidR="00780CD3">
        <w:rPr>
          <w:rFonts w:ascii="Times New Roman" w:hAnsi="Times New Roman" w:cs="Times New Roman"/>
          <w:sz w:val="24"/>
          <w:szCs w:val="24"/>
        </w:rPr>
        <w:t>l’infrastruttura</w:t>
      </w:r>
      <w:r>
        <w:rPr>
          <w:rFonts w:ascii="Times New Roman" w:hAnsi="Times New Roman" w:cs="Times New Roman"/>
          <w:sz w:val="24"/>
          <w:szCs w:val="24"/>
        </w:rPr>
        <w:t xml:space="preserve"> con i propri ripetitori e impianti. Anche in questa ipotesi, ogni singola compagnia dovrà versare per il proprio impianto di trasmissione, così come la società concessionaria del traliccio sarà anch’essa </w:t>
      </w:r>
      <w:r w:rsidR="00780CD3">
        <w:rPr>
          <w:rFonts w:ascii="Times New Roman" w:hAnsi="Times New Roman" w:cs="Times New Roman"/>
          <w:sz w:val="24"/>
          <w:szCs w:val="24"/>
        </w:rPr>
        <w:t>chiamata</w:t>
      </w:r>
      <w:r>
        <w:rPr>
          <w:rFonts w:ascii="Times New Roman" w:hAnsi="Times New Roman" w:cs="Times New Roman"/>
          <w:sz w:val="24"/>
          <w:szCs w:val="24"/>
        </w:rPr>
        <w:t xml:space="preserve"> al pagamento in quanto l’infrastruttura </w:t>
      </w:r>
      <w:r w:rsidR="00780CD3">
        <w:rPr>
          <w:rFonts w:ascii="Times New Roman" w:hAnsi="Times New Roman" w:cs="Times New Roman"/>
          <w:sz w:val="24"/>
          <w:szCs w:val="24"/>
        </w:rPr>
        <w:t>costituisce</w:t>
      </w:r>
      <w:r>
        <w:rPr>
          <w:rFonts w:ascii="Times New Roman" w:hAnsi="Times New Roman" w:cs="Times New Roman"/>
          <w:sz w:val="24"/>
          <w:szCs w:val="24"/>
        </w:rPr>
        <w:t xml:space="preserve"> un’occupazione di suolo pubblico e </w:t>
      </w:r>
      <w:r w:rsidRPr="006A6286">
        <w:rPr>
          <w:rFonts w:ascii="Times New Roman" w:hAnsi="Times New Roman" w:cs="Times New Roman"/>
          <w:sz w:val="24"/>
          <w:szCs w:val="24"/>
        </w:rPr>
        <w:t>senza</w:t>
      </w:r>
      <w:r>
        <w:rPr>
          <w:rFonts w:ascii="Times New Roman" w:hAnsi="Times New Roman" w:cs="Times New Roman"/>
          <w:sz w:val="24"/>
          <w:szCs w:val="24"/>
        </w:rPr>
        <w:t xml:space="preserve"> dubbio </w:t>
      </w:r>
      <w:r w:rsidR="00780CD3">
        <w:rPr>
          <w:rFonts w:ascii="Times New Roman" w:hAnsi="Times New Roman" w:cs="Times New Roman"/>
          <w:sz w:val="24"/>
          <w:szCs w:val="24"/>
        </w:rPr>
        <w:t>rappresenta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6286">
        <w:rPr>
          <w:rFonts w:ascii="Times New Roman" w:hAnsi="Times New Roman" w:cs="Times New Roman"/>
          <w:sz w:val="24"/>
          <w:szCs w:val="24"/>
        </w:rPr>
        <w:t>un impianto direttamente funzionale all'erogazione del servizio</w:t>
      </w:r>
      <w:r>
        <w:rPr>
          <w:rFonts w:ascii="Times New Roman" w:hAnsi="Times New Roman" w:cs="Times New Roman"/>
          <w:sz w:val="24"/>
          <w:szCs w:val="24"/>
        </w:rPr>
        <w:t xml:space="preserve">. Seguendo infatti la logica adottata per le infrastrutture dedicate all’erogazione dei servizi di rete disciplinati nel comma 831, secondo quanto stabilito dalla </w:t>
      </w:r>
      <w:r w:rsidRPr="00861D43">
        <w:rPr>
          <w:rFonts w:ascii="Times New Roman" w:hAnsi="Times New Roman" w:cs="Times New Roman"/>
          <w:sz w:val="24"/>
          <w:szCs w:val="24"/>
        </w:rPr>
        <w:t>norma di interpretazione autentica di cui all’art. 5, comma 14-quinquies, lett. b) del D. L. n. 146 del 2021</w:t>
      </w:r>
      <w:r>
        <w:rPr>
          <w:rFonts w:ascii="Times New Roman" w:hAnsi="Times New Roman" w:cs="Times New Roman"/>
          <w:sz w:val="24"/>
          <w:szCs w:val="24"/>
        </w:rPr>
        <w:t xml:space="preserve">, si ritiene che anche la società titolare del traliccio debba versare il canone unico per l’occupazione di suolo pubblico realizzata, con applicazione della tariffa forfetaria di 800 euro annuali. </w:t>
      </w:r>
      <w:r w:rsidR="003C173E">
        <w:rPr>
          <w:rFonts w:ascii="Times New Roman" w:hAnsi="Times New Roman" w:cs="Times New Roman"/>
          <w:sz w:val="24"/>
          <w:szCs w:val="24"/>
        </w:rPr>
        <w:t>Se così non fosse</w:t>
      </w:r>
      <w:r>
        <w:rPr>
          <w:rFonts w:ascii="Times New Roman" w:hAnsi="Times New Roman" w:cs="Times New Roman"/>
          <w:sz w:val="24"/>
          <w:szCs w:val="24"/>
        </w:rPr>
        <w:t>, dovrebbe versare in base alla effettiva superficie occupata, ovvero alla superficie sottratta all’uso pubblico, con applicazione della tariffa a mq deliberata dal Comune.</w:t>
      </w:r>
      <w:r w:rsidRPr="00861D4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B5F9FE" w14:textId="77777777" w:rsidR="00F8610A" w:rsidRDefault="00F8610A"/>
    <w:sectPr w:rsidR="00F8610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803"/>
    <w:rsid w:val="000B7DCC"/>
    <w:rsid w:val="0015562A"/>
    <w:rsid w:val="002C65F8"/>
    <w:rsid w:val="003C173E"/>
    <w:rsid w:val="00445803"/>
    <w:rsid w:val="00492098"/>
    <w:rsid w:val="006C2BEF"/>
    <w:rsid w:val="00780CD3"/>
    <w:rsid w:val="00AC1512"/>
    <w:rsid w:val="00E64349"/>
    <w:rsid w:val="00EC720A"/>
    <w:rsid w:val="00F8610A"/>
    <w:rsid w:val="00FC5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288C7"/>
  <w15:chartTrackingRefBased/>
  <w15:docId w15:val="{3F0DF437-53D0-47E6-99A9-F2F17DCFF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5562A"/>
    <w:pPr>
      <w:spacing w:after="200" w:line="276" w:lineRule="auto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155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744</Words>
  <Characters>4246</Characters>
  <Application>Microsoft Office Word</Application>
  <DocSecurity>0</DocSecurity>
  <Lines>35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merciari</dc:creator>
  <cp:keywords/>
  <dc:description/>
  <cp:lastModifiedBy>alessandro merciari</cp:lastModifiedBy>
  <cp:revision>6</cp:revision>
  <dcterms:created xsi:type="dcterms:W3CDTF">2022-09-15T09:55:00Z</dcterms:created>
  <dcterms:modified xsi:type="dcterms:W3CDTF">2022-09-19T14:54:00Z</dcterms:modified>
</cp:coreProperties>
</file>