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6FB24" w14:textId="0637D30D"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Titolo: </w:t>
      </w:r>
      <w:r w:rsidR="00D5271A">
        <w:rPr>
          <w:rFonts w:ascii="Times New Roman" w:hAnsi="Times New Roman" w:cs="Times New Roman"/>
          <w:sz w:val="24"/>
          <w:szCs w:val="24"/>
        </w:rPr>
        <w:t>il giusto calcolo del Canone Unico per i mezzi pubblicitari. Conta la disponibilità dell’impianto e non il suo utilizzo.</w:t>
      </w:r>
    </w:p>
    <w:p w14:paraId="75B916F9" w14:textId="05B8FC2F"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Con l’introduzione del Canone Unico Patrimoniale le valutazioni già adottate in materia di Imposta sulla Pubblicità, di TOSAP o di </w:t>
      </w:r>
      <w:proofErr w:type="spellStart"/>
      <w:r>
        <w:rPr>
          <w:rFonts w:ascii="Times New Roman" w:hAnsi="Times New Roman" w:cs="Times New Roman"/>
          <w:sz w:val="24"/>
          <w:szCs w:val="24"/>
        </w:rPr>
        <w:t>Cosap</w:t>
      </w:r>
      <w:proofErr w:type="spellEnd"/>
      <w:r>
        <w:rPr>
          <w:rFonts w:ascii="Times New Roman" w:hAnsi="Times New Roman" w:cs="Times New Roman"/>
          <w:sz w:val="24"/>
          <w:szCs w:val="24"/>
        </w:rPr>
        <w:t xml:space="preserve">, possono in gran parte essere mutuate nella nuova disciplina. Più volte </w:t>
      </w:r>
      <w:r w:rsidR="007849A1">
        <w:rPr>
          <w:rFonts w:ascii="Times New Roman" w:hAnsi="Times New Roman" w:cs="Times New Roman"/>
          <w:sz w:val="24"/>
          <w:szCs w:val="24"/>
        </w:rPr>
        <w:t xml:space="preserve">infatti </w:t>
      </w:r>
      <w:r>
        <w:rPr>
          <w:rFonts w:ascii="Times New Roman" w:hAnsi="Times New Roman" w:cs="Times New Roman"/>
          <w:sz w:val="24"/>
          <w:szCs w:val="24"/>
        </w:rPr>
        <w:t xml:space="preserve">abbiamo </w:t>
      </w:r>
      <w:r w:rsidR="007849A1">
        <w:rPr>
          <w:rFonts w:ascii="Times New Roman" w:hAnsi="Times New Roman" w:cs="Times New Roman"/>
          <w:sz w:val="24"/>
          <w:szCs w:val="24"/>
        </w:rPr>
        <w:t xml:space="preserve">ricordato come </w:t>
      </w:r>
      <w:r>
        <w:rPr>
          <w:rFonts w:ascii="Times New Roman" w:hAnsi="Times New Roman" w:cs="Times New Roman"/>
          <w:sz w:val="24"/>
          <w:szCs w:val="24"/>
        </w:rPr>
        <w:t>la nuova entrata affond</w:t>
      </w:r>
      <w:r w:rsidR="007849A1">
        <w:rPr>
          <w:rFonts w:ascii="Times New Roman" w:hAnsi="Times New Roman" w:cs="Times New Roman"/>
          <w:sz w:val="24"/>
          <w:szCs w:val="24"/>
        </w:rPr>
        <w:t>i</w:t>
      </w:r>
      <w:r>
        <w:rPr>
          <w:rFonts w:ascii="Times New Roman" w:hAnsi="Times New Roman" w:cs="Times New Roman"/>
          <w:sz w:val="24"/>
          <w:szCs w:val="24"/>
        </w:rPr>
        <w:t xml:space="preserve"> pesantemente le radici nei precedenti prelievi. Tuttavia, nell’ambito del presupposto pubblicitario, uno degli elementi di maggior innovazione del canone rispetto all’imposta, è rappresentato dall’importanza che assume la disponibilità del supporto, ovvero del mezzo pubblicitario, piuttosto che del suo effettivo utilizzo.</w:t>
      </w:r>
    </w:p>
    <w:p w14:paraId="71EEAA5C" w14:textId="24191302" w:rsidR="007849A1" w:rsidRDefault="00266D55" w:rsidP="00266D55">
      <w:pPr>
        <w:jc w:val="both"/>
        <w:rPr>
          <w:rFonts w:ascii="Times New Roman" w:hAnsi="Times New Roman" w:cs="Times New Roman"/>
          <w:sz w:val="24"/>
          <w:szCs w:val="24"/>
        </w:rPr>
      </w:pPr>
      <w:r>
        <w:rPr>
          <w:rFonts w:ascii="Times New Roman" w:hAnsi="Times New Roman" w:cs="Times New Roman"/>
          <w:sz w:val="24"/>
          <w:szCs w:val="24"/>
        </w:rPr>
        <w:t>Un punto di rottura con il passato</w:t>
      </w:r>
      <w:r w:rsidR="00D5271A">
        <w:rPr>
          <w:rFonts w:ascii="Times New Roman" w:hAnsi="Times New Roman" w:cs="Times New Roman"/>
          <w:sz w:val="24"/>
          <w:szCs w:val="24"/>
        </w:rPr>
        <w:t>,</w:t>
      </w:r>
      <w:r>
        <w:rPr>
          <w:rFonts w:ascii="Times New Roman" w:hAnsi="Times New Roman" w:cs="Times New Roman"/>
          <w:sz w:val="24"/>
          <w:szCs w:val="24"/>
        </w:rPr>
        <w:t xml:space="preserve"> che più di altri elementi caratterizza il nuovo prelievo e che sta evidentemente creando diversi problemi di metodo sia da parte degli uffici</w:t>
      </w:r>
      <w:r w:rsidR="00D5271A">
        <w:rPr>
          <w:rFonts w:ascii="Times New Roman" w:hAnsi="Times New Roman" w:cs="Times New Roman"/>
          <w:sz w:val="24"/>
          <w:szCs w:val="24"/>
        </w:rPr>
        <w:t>,</w:t>
      </w:r>
      <w:r>
        <w:rPr>
          <w:rFonts w:ascii="Times New Roman" w:hAnsi="Times New Roman" w:cs="Times New Roman"/>
          <w:sz w:val="24"/>
          <w:szCs w:val="24"/>
        </w:rPr>
        <w:t xml:space="preserve"> che delle aziende che lavorano nell’ambito della diffusione pubblicitaria. </w:t>
      </w:r>
    </w:p>
    <w:p w14:paraId="58B339AE" w14:textId="548F0E0E" w:rsidR="00266D55" w:rsidRDefault="007849A1" w:rsidP="00266D55">
      <w:pPr>
        <w:jc w:val="both"/>
        <w:rPr>
          <w:rFonts w:ascii="Times New Roman" w:hAnsi="Times New Roman" w:cs="Times New Roman"/>
          <w:sz w:val="24"/>
          <w:szCs w:val="24"/>
        </w:rPr>
      </w:pPr>
      <w:r>
        <w:rPr>
          <w:rFonts w:ascii="Times New Roman" w:hAnsi="Times New Roman" w:cs="Times New Roman"/>
          <w:sz w:val="24"/>
          <w:szCs w:val="24"/>
        </w:rPr>
        <w:t>Nella nostra analisi n</w:t>
      </w:r>
      <w:r w:rsidR="00266D55">
        <w:rPr>
          <w:rFonts w:ascii="Times New Roman" w:hAnsi="Times New Roman" w:cs="Times New Roman"/>
          <w:sz w:val="24"/>
          <w:szCs w:val="24"/>
        </w:rPr>
        <w:t>on dobbiamo infatti fermarci al presupposto di cui al comma 819 lettera B</w:t>
      </w:r>
      <w:r w:rsidR="00D5271A">
        <w:rPr>
          <w:rFonts w:ascii="Times New Roman" w:hAnsi="Times New Roman" w:cs="Times New Roman"/>
          <w:sz w:val="24"/>
          <w:szCs w:val="24"/>
        </w:rPr>
        <w:t xml:space="preserve"> della Legge 160/2019</w:t>
      </w:r>
      <w:r w:rsidR="00266D55">
        <w:rPr>
          <w:rFonts w:ascii="Times New Roman" w:hAnsi="Times New Roman" w:cs="Times New Roman"/>
          <w:sz w:val="24"/>
          <w:szCs w:val="24"/>
        </w:rPr>
        <w:t>, che vede la diffusione di un messaggio pubblicitario quale condizione per far scattare il pagamento del canone. Oggi, in regime</w:t>
      </w:r>
      <w:r>
        <w:rPr>
          <w:rFonts w:ascii="Times New Roman" w:hAnsi="Times New Roman" w:cs="Times New Roman"/>
          <w:sz w:val="24"/>
          <w:szCs w:val="24"/>
        </w:rPr>
        <w:t xml:space="preserve"> di</w:t>
      </w:r>
      <w:r w:rsidR="00266D55">
        <w:rPr>
          <w:rFonts w:ascii="Times New Roman" w:hAnsi="Times New Roman" w:cs="Times New Roman"/>
          <w:sz w:val="24"/>
          <w:szCs w:val="24"/>
        </w:rPr>
        <w:t xml:space="preserve"> CUP, diventa centrale il momento d</w:t>
      </w:r>
      <w:r>
        <w:rPr>
          <w:rFonts w:ascii="Times New Roman" w:hAnsi="Times New Roman" w:cs="Times New Roman"/>
          <w:sz w:val="24"/>
          <w:szCs w:val="24"/>
        </w:rPr>
        <w:t>el</w:t>
      </w:r>
      <w:r w:rsidR="00266D55">
        <w:rPr>
          <w:rFonts w:ascii="Times New Roman" w:hAnsi="Times New Roman" w:cs="Times New Roman"/>
          <w:sz w:val="24"/>
          <w:szCs w:val="24"/>
        </w:rPr>
        <w:t xml:space="preserve"> rilascio dell’autorizzazione, che mette in condizione il beneficiario di disporre dell’impianto.</w:t>
      </w:r>
    </w:p>
    <w:p w14:paraId="6EB89F5A" w14:textId="77777777"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Questo meccanismo rappresenta uno dei temi più rilevanti della materia che evidenzia la sostanziale differenza tra le due entrate. L’ICP come detto si basava solamente sull’insorgere del presupposto di cui all’articolo 5 del </w:t>
      </w:r>
      <w:proofErr w:type="spellStart"/>
      <w:r>
        <w:rPr>
          <w:rFonts w:ascii="Times New Roman" w:hAnsi="Times New Roman" w:cs="Times New Roman"/>
          <w:sz w:val="24"/>
          <w:szCs w:val="24"/>
        </w:rPr>
        <w:t>D.Lgs</w:t>
      </w:r>
      <w:proofErr w:type="spellEnd"/>
      <w:r>
        <w:rPr>
          <w:rFonts w:ascii="Times New Roman" w:hAnsi="Times New Roman" w:cs="Times New Roman"/>
          <w:sz w:val="24"/>
          <w:szCs w:val="24"/>
        </w:rPr>
        <w:t xml:space="preserve"> 507/93, ossia la diffusione di un messaggio pubblicitario finalizzato a promuovere la vendita di un bene o servizio, ovvero a migliorare l’immagine del soggetto pubblicizzato, il CUP invece, parte dall’azione amministrativa, che diventa come detto centrale nella disciplina, andando a condizionare il rilascio della concessione o dell’autorizzazione stessa con il pagamento del canone. Il comma 835 della Legge 160/2019 infatti recita: </w:t>
      </w:r>
      <w:r>
        <w:rPr>
          <w:rFonts w:ascii="Times New Roman" w:hAnsi="Times New Roman" w:cs="Times New Roman"/>
          <w:i/>
          <w:iCs/>
          <w:sz w:val="24"/>
          <w:szCs w:val="24"/>
        </w:rPr>
        <w:t>“Il versamento del canone è effettuato, direttamente agli enti, contestualmente al rilascio della concessione o dell’autorizzazione all’occupazione o alla diffusione dei messaggi pubblicitari..</w:t>
      </w:r>
      <w:r>
        <w:rPr>
          <w:rFonts w:ascii="Times New Roman" w:hAnsi="Times New Roman" w:cs="Times New Roman"/>
          <w:sz w:val="24"/>
          <w:szCs w:val="24"/>
        </w:rPr>
        <w:t xml:space="preserve">.” </w:t>
      </w:r>
    </w:p>
    <w:p w14:paraId="0F5170A0" w14:textId="5BAF315D" w:rsidR="00C57B4B" w:rsidRDefault="00C57B4B" w:rsidP="00266D55">
      <w:pPr>
        <w:jc w:val="both"/>
        <w:rPr>
          <w:rFonts w:ascii="Times New Roman" w:hAnsi="Times New Roman" w:cs="Times New Roman"/>
          <w:sz w:val="24"/>
          <w:szCs w:val="24"/>
        </w:rPr>
      </w:pPr>
      <w:r>
        <w:rPr>
          <w:rFonts w:ascii="Times New Roman" w:hAnsi="Times New Roman" w:cs="Times New Roman"/>
          <w:sz w:val="24"/>
          <w:szCs w:val="24"/>
        </w:rPr>
        <w:t xml:space="preserve">In </w:t>
      </w:r>
      <w:r w:rsidR="00D5271A">
        <w:rPr>
          <w:rFonts w:ascii="Times New Roman" w:hAnsi="Times New Roman" w:cs="Times New Roman"/>
          <w:sz w:val="24"/>
          <w:szCs w:val="24"/>
        </w:rPr>
        <w:t xml:space="preserve">buona </w:t>
      </w:r>
      <w:r>
        <w:rPr>
          <w:rFonts w:ascii="Times New Roman" w:hAnsi="Times New Roman" w:cs="Times New Roman"/>
          <w:sz w:val="24"/>
          <w:szCs w:val="24"/>
        </w:rPr>
        <w:t xml:space="preserve">sostanza oggi il prelievo si innesca dall'autorizzazione, a prescindere dall'effettivo utilizzo, ponendo </w:t>
      </w:r>
      <w:r w:rsidR="00266D55">
        <w:rPr>
          <w:rFonts w:ascii="Times New Roman" w:hAnsi="Times New Roman" w:cs="Times New Roman"/>
          <w:sz w:val="24"/>
          <w:szCs w:val="24"/>
        </w:rPr>
        <w:t xml:space="preserve">al centro della gestione del canone il rilascio dell’atto amministrativo e non più il realizzarsi del presupposto, oggi contenuto nel comma 819. </w:t>
      </w:r>
    </w:p>
    <w:p w14:paraId="3BC6230D" w14:textId="1E179C4E"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Questo sia in materia di occupazione di suolo pubblico, che di esposizioni pubblicitarie. È stato </w:t>
      </w:r>
      <w:r w:rsidR="00C57B4B">
        <w:rPr>
          <w:rFonts w:ascii="Times New Roman" w:hAnsi="Times New Roman" w:cs="Times New Roman"/>
          <w:sz w:val="24"/>
          <w:szCs w:val="24"/>
        </w:rPr>
        <w:t xml:space="preserve">lo stesso </w:t>
      </w:r>
      <w:r>
        <w:rPr>
          <w:rFonts w:ascii="Times New Roman" w:hAnsi="Times New Roman" w:cs="Times New Roman"/>
          <w:sz w:val="24"/>
          <w:szCs w:val="24"/>
        </w:rPr>
        <w:t xml:space="preserve">Legislatore a volere accorpare le due fattispecie e </w:t>
      </w:r>
      <w:r w:rsidR="00C57B4B">
        <w:rPr>
          <w:rFonts w:ascii="Times New Roman" w:hAnsi="Times New Roman" w:cs="Times New Roman"/>
          <w:sz w:val="24"/>
          <w:szCs w:val="24"/>
        </w:rPr>
        <w:t>pensiamo cosa</w:t>
      </w:r>
      <w:r>
        <w:rPr>
          <w:rFonts w:ascii="Times New Roman" w:hAnsi="Times New Roman" w:cs="Times New Roman"/>
          <w:sz w:val="24"/>
          <w:szCs w:val="24"/>
        </w:rPr>
        <w:t xml:space="preserve"> potrebbe succedere in materia di suolo se applicassimo solo il principio dell'effettivo utilizzo e non della disponibilità/sottrazione dello spazio.</w:t>
      </w:r>
    </w:p>
    <w:p w14:paraId="07EAF0BF" w14:textId="58B59475" w:rsidR="00CC5C9C" w:rsidRDefault="00C57B4B" w:rsidP="00266D55">
      <w:pPr>
        <w:jc w:val="both"/>
        <w:rPr>
          <w:rFonts w:ascii="Times New Roman" w:hAnsi="Times New Roman" w:cs="Times New Roman"/>
          <w:sz w:val="24"/>
          <w:szCs w:val="24"/>
        </w:rPr>
      </w:pPr>
      <w:r>
        <w:rPr>
          <w:rFonts w:ascii="Times New Roman" w:hAnsi="Times New Roman" w:cs="Times New Roman"/>
          <w:sz w:val="24"/>
          <w:szCs w:val="24"/>
        </w:rPr>
        <w:t xml:space="preserve">Questo principio posto alla base della nuova disciplina ha riflessi importanti al lato pratico. Si pensi ad esempio agli impianti pubblicitari posti lungo le </w:t>
      </w:r>
      <w:r w:rsidR="00D5271A">
        <w:rPr>
          <w:rFonts w:ascii="Times New Roman" w:hAnsi="Times New Roman" w:cs="Times New Roman"/>
          <w:sz w:val="24"/>
          <w:szCs w:val="24"/>
        </w:rPr>
        <w:t>sedi</w:t>
      </w:r>
      <w:r>
        <w:rPr>
          <w:rFonts w:ascii="Times New Roman" w:hAnsi="Times New Roman" w:cs="Times New Roman"/>
          <w:sz w:val="24"/>
          <w:szCs w:val="24"/>
        </w:rPr>
        <w:t xml:space="preserve"> stradali, cartellonistica di varie dimensioni, </w:t>
      </w:r>
      <w:proofErr w:type="spellStart"/>
      <w:r>
        <w:rPr>
          <w:rFonts w:ascii="Times New Roman" w:hAnsi="Times New Roman" w:cs="Times New Roman"/>
          <w:sz w:val="24"/>
          <w:szCs w:val="24"/>
        </w:rPr>
        <w:t>pre</w:t>
      </w:r>
      <w:proofErr w:type="spellEnd"/>
      <w:r>
        <w:rPr>
          <w:rFonts w:ascii="Times New Roman" w:hAnsi="Times New Roman" w:cs="Times New Roman"/>
          <w:sz w:val="24"/>
          <w:szCs w:val="24"/>
        </w:rPr>
        <w:t>-insegne, para-pedonali, poster per affissioni dirette, supporti per campagne temporanee, impianti pubblicitari tecnologici, tutti elementi soggetto ad autorizzazione da parte dell’ente proprietario della strada</w:t>
      </w:r>
      <w:r w:rsidR="00CC5C9C">
        <w:rPr>
          <w:rFonts w:ascii="Times New Roman" w:hAnsi="Times New Roman" w:cs="Times New Roman"/>
          <w:sz w:val="24"/>
          <w:szCs w:val="24"/>
        </w:rPr>
        <w:t xml:space="preserve"> che dovranno scontare</w:t>
      </w:r>
      <w:r>
        <w:rPr>
          <w:rFonts w:ascii="Times New Roman" w:hAnsi="Times New Roman" w:cs="Times New Roman"/>
          <w:sz w:val="24"/>
          <w:szCs w:val="24"/>
        </w:rPr>
        <w:t xml:space="preserve"> </w:t>
      </w:r>
      <w:r w:rsidR="00266D55">
        <w:rPr>
          <w:rFonts w:ascii="Times New Roman" w:hAnsi="Times New Roman" w:cs="Times New Roman"/>
          <w:sz w:val="24"/>
          <w:szCs w:val="24"/>
        </w:rPr>
        <w:t xml:space="preserve">l’applicazione del Canone Unico </w:t>
      </w:r>
      <w:r w:rsidR="00CC5C9C">
        <w:rPr>
          <w:rFonts w:ascii="Times New Roman" w:hAnsi="Times New Roman" w:cs="Times New Roman"/>
          <w:sz w:val="24"/>
          <w:szCs w:val="24"/>
        </w:rPr>
        <w:t>fin dal momento del rilascio, indipendentemente dall’effettivo sfruttamento per le campagne pubblicitarie</w:t>
      </w:r>
      <w:r w:rsidR="00266D55">
        <w:rPr>
          <w:rFonts w:ascii="Times New Roman" w:hAnsi="Times New Roman" w:cs="Times New Roman"/>
          <w:sz w:val="24"/>
          <w:szCs w:val="24"/>
        </w:rPr>
        <w:t xml:space="preserve">. </w:t>
      </w:r>
      <w:r w:rsidR="00CC5C9C">
        <w:rPr>
          <w:rFonts w:ascii="Times New Roman" w:hAnsi="Times New Roman" w:cs="Times New Roman"/>
          <w:sz w:val="24"/>
          <w:szCs w:val="24"/>
        </w:rPr>
        <w:t>Rispetto al passato, diventa così secondaria</w:t>
      </w:r>
      <w:r w:rsidR="00266D55">
        <w:rPr>
          <w:rFonts w:ascii="Times New Roman" w:hAnsi="Times New Roman" w:cs="Times New Roman"/>
          <w:sz w:val="24"/>
          <w:szCs w:val="24"/>
        </w:rPr>
        <w:t xml:space="preserve"> e inutile la comunicazione dei messaggi e dei prodotti sponsorizzati che saranno, durante l’intero periodo dell’autorizzazione, via via esposti sugli impianti. Il criterio di calcolo del canone sarà quindi paragonabile al concetto già </w:t>
      </w:r>
      <w:r w:rsidR="00CC5C9C">
        <w:rPr>
          <w:rFonts w:ascii="Times New Roman" w:hAnsi="Times New Roman" w:cs="Times New Roman"/>
          <w:sz w:val="24"/>
          <w:szCs w:val="24"/>
        </w:rPr>
        <w:t>conosciuto</w:t>
      </w:r>
      <w:r w:rsidR="00266D55">
        <w:rPr>
          <w:rFonts w:ascii="Times New Roman" w:hAnsi="Times New Roman" w:cs="Times New Roman"/>
          <w:sz w:val="24"/>
          <w:szCs w:val="24"/>
        </w:rPr>
        <w:t xml:space="preserve"> con la precedente disciplina </w:t>
      </w:r>
      <w:r w:rsidR="00266D55">
        <w:rPr>
          <w:rFonts w:ascii="Times New Roman" w:hAnsi="Times New Roman" w:cs="Times New Roman"/>
          <w:sz w:val="24"/>
          <w:szCs w:val="24"/>
        </w:rPr>
        <w:lastRenderedPageBreak/>
        <w:t>del cosiddetto pagamento “vuoto per pieno”</w:t>
      </w:r>
      <w:r w:rsidR="00CC5C9C">
        <w:rPr>
          <w:rFonts w:ascii="Times New Roman" w:hAnsi="Times New Roman" w:cs="Times New Roman"/>
          <w:sz w:val="24"/>
          <w:szCs w:val="24"/>
        </w:rPr>
        <w:t>, calcolando il dovuto per tutto il periodo di rilascio dell’autorizzazione.</w:t>
      </w:r>
    </w:p>
    <w:p w14:paraId="3B3B7E2B" w14:textId="1EAC0ED5" w:rsidR="00266D55" w:rsidRDefault="00CC5C9C" w:rsidP="00266D55">
      <w:pPr>
        <w:jc w:val="both"/>
        <w:rPr>
          <w:rFonts w:ascii="Times New Roman" w:hAnsi="Times New Roman" w:cs="Times New Roman"/>
          <w:sz w:val="24"/>
          <w:szCs w:val="24"/>
        </w:rPr>
      </w:pPr>
      <w:r>
        <w:rPr>
          <w:rFonts w:ascii="Times New Roman" w:hAnsi="Times New Roman" w:cs="Times New Roman"/>
          <w:sz w:val="24"/>
          <w:szCs w:val="24"/>
        </w:rPr>
        <w:t xml:space="preserve">Un effetto dirompente che, come detto, rappresenta un vero punto di rottura con il passato e che </w:t>
      </w:r>
      <w:r w:rsidR="00057C90">
        <w:rPr>
          <w:rFonts w:ascii="Times New Roman" w:hAnsi="Times New Roman" w:cs="Times New Roman"/>
          <w:sz w:val="24"/>
          <w:szCs w:val="24"/>
        </w:rPr>
        <w:t xml:space="preserve">vedrà certamente </w:t>
      </w:r>
      <w:r>
        <w:rPr>
          <w:rFonts w:ascii="Times New Roman" w:hAnsi="Times New Roman" w:cs="Times New Roman"/>
          <w:sz w:val="24"/>
          <w:szCs w:val="24"/>
        </w:rPr>
        <w:t>scaturire dei contenziosi con le ditte specializzate nella diffusione pubblicitaria, abituate a versare l’imposta solo per i periodi di esposizione del</w:t>
      </w:r>
      <w:r w:rsidR="00F56915">
        <w:rPr>
          <w:rFonts w:ascii="Times New Roman" w:hAnsi="Times New Roman" w:cs="Times New Roman"/>
          <w:sz w:val="24"/>
          <w:szCs w:val="24"/>
        </w:rPr>
        <w:t xml:space="preserve"> messaggio pubblicitario.</w:t>
      </w:r>
      <w:r>
        <w:rPr>
          <w:rFonts w:ascii="Times New Roman" w:hAnsi="Times New Roman" w:cs="Times New Roman"/>
          <w:sz w:val="24"/>
          <w:szCs w:val="24"/>
        </w:rPr>
        <w:t xml:space="preserve"> </w:t>
      </w:r>
    </w:p>
    <w:p w14:paraId="7464064B" w14:textId="490D2DD6"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Sulla questione </w:t>
      </w:r>
      <w:r w:rsidR="00F91AB7">
        <w:rPr>
          <w:rFonts w:ascii="Times New Roman" w:hAnsi="Times New Roman" w:cs="Times New Roman"/>
          <w:sz w:val="24"/>
          <w:szCs w:val="24"/>
        </w:rPr>
        <w:t>degli impianti in uso alle aziende del settore, giova ricordare anche la questione della “</w:t>
      </w:r>
      <w:r>
        <w:rPr>
          <w:rFonts w:ascii="Times New Roman" w:hAnsi="Times New Roman" w:cs="Times New Roman"/>
          <w:sz w:val="24"/>
          <w:szCs w:val="24"/>
        </w:rPr>
        <w:t>cornice</w:t>
      </w:r>
      <w:r w:rsidR="00F91AB7">
        <w:rPr>
          <w:rFonts w:ascii="Times New Roman" w:hAnsi="Times New Roman" w:cs="Times New Roman"/>
          <w:sz w:val="24"/>
          <w:szCs w:val="24"/>
        </w:rPr>
        <w:t>” del mezzo pubblicitario. L</w:t>
      </w:r>
      <w:r>
        <w:rPr>
          <w:rFonts w:ascii="Times New Roman" w:hAnsi="Times New Roman" w:cs="Times New Roman"/>
          <w:sz w:val="24"/>
          <w:szCs w:val="24"/>
        </w:rPr>
        <w:t xml:space="preserve">a Cassazione in passato </w:t>
      </w:r>
      <w:r w:rsidR="00F91AB7">
        <w:rPr>
          <w:rFonts w:ascii="Times New Roman" w:hAnsi="Times New Roman" w:cs="Times New Roman"/>
          <w:sz w:val="24"/>
          <w:szCs w:val="24"/>
        </w:rPr>
        <w:t xml:space="preserve">si era </w:t>
      </w:r>
      <w:r>
        <w:rPr>
          <w:rFonts w:ascii="Times New Roman" w:hAnsi="Times New Roman" w:cs="Times New Roman"/>
          <w:sz w:val="24"/>
          <w:szCs w:val="24"/>
        </w:rPr>
        <w:t xml:space="preserve">ampiamente espressa discernendo tra casistiche in cui la stessa è utilizzabile o meno ai fini pubblicitari. Criterio </w:t>
      </w:r>
      <w:r w:rsidR="00F91AB7">
        <w:rPr>
          <w:rFonts w:ascii="Times New Roman" w:hAnsi="Times New Roman" w:cs="Times New Roman"/>
          <w:sz w:val="24"/>
          <w:szCs w:val="24"/>
        </w:rPr>
        <w:t xml:space="preserve">questo </w:t>
      </w:r>
      <w:r>
        <w:rPr>
          <w:rFonts w:ascii="Times New Roman" w:hAnsi="Times New Roman" w:cs="Times New Roman"/>
          <w:sz w:val="24"/>
          <w:szCs w:val="24"/>
        </w:rPr>
        <w:t>mutuabile con la disciplina CUP.</w:t>
      </w:r>
    </w:p>
    <w:p w14:paraId="3C5260CF" w14:textId="5DDC2122"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Con la Sentenza </w:t>
      </w:r>
      <w:r w:rsidR="00F91AB7">
        <w:rPr>
          <w:rFonts w:ascii="Times New Roman" w:hAnsi="Times New Roman" w:cs="Times New Roman"/>
          <w:sz w:val="24"/>
          <w:szCs w:val="24"/>
        </w:rPr>
        <w:t>30.10.2009 n.</w:t>
      </w:r>
      <w:r>
        <w:rPr>
          <w:rFonts w:ascii="Times New Roman" w:hAnsi="Times New Roman" w:cs="Times New Roman"/>
          <w:sz w:val="24"/>
          <w:szCs w:val="24"/>
        </w:rPr>
        <w:t xml:space="preserve"> 23023, la Corte di Cassazione aveva stabilito che la superficie del mezzo circostante il messaggio pubblicitario resta esente dall'imposizione in quanto sia costituita da una cornice oggettivamente distinta dallo spazio destinato alla pubblicità, che sia anche strutturalmente inidonea ad essere utilizzata per la diffusione del messaggio.</w:t>
      </w:r>
    </w:p>
    <w:p w14:paraId="3F58BEE4" w14:textId="19A442B6" w:rsidR="00266D55" w:rsidRDefault="00266D55" w:rsidP="00266D55">
      <w:pPr>
        <w:jc w:val="both"/>
        <w:rPr>
          <w:rFonts w:ascii="Times New Roman" w:hAnsi="Times New Roman" w:cs="Times New Roman"/>
          <w:sz w:val="24"/>
          <w:szCs w:val="24"/>
        </w:rPr>
      </w:pPr>
      <w:r>
        <w:rPr>
          <w:rFonts w:ascii="Times New Roman" w:hAnsi="Times New Roman" w:cs="Times New Roman"/>
          <w:sz w:val="24"/>
          <w:szCs w:val="24"/>
        </w:rPr>
        <w:t xml:space="preserve">Certo, su questo argomento, il dettato normativo del Canone Unico non aiuta a comprendere il criterio da utilizzare, il comma 825 </w:t>
      </w:r>
      <w:r w:rsidR="00D5271A">
        <w:rPr>
          <w:rFonts w:ascii="Times New Roman" w:hAnsi="Times New Roman" w:cs="Times New Roman"/>
          <w:sz w:val="24"/>
          <w:szCs w:val="24"/>
        </w:rPr>
        <w:t xml:space="preserve">della Legge 160/2019 </w:t>
      </w:r>
      <w:r>
        <w:rPr>
          <w:rFonts w:ascii="Times New Roman" w:hAnsi="Times New Roman" w:cs="Times New Roman"/>
          <w:sz w:val="24"/>
          <w:szCs w:val="24"/>
        </w:rPr>
        <w:t>infatti prevede che “</w:t>
      </w:r>
      <w:r>
        <w:rPr>
          <w:rFonts w:ascii="Times New Roman" w:hAnsi="Times New Roman" w:cs="Times New Roman"/>
          <w:i/>
          <w:iCs/>
          <w:sz w:val="24"/>
          <w:szCs w:val="24"/>
        </w:rPr>
        <w:t>il canone è determinato in base alla superficie complessiva del mezzo pubblicitario, calcolata in metri quadrati, indipendentemente dal tipo e dal numero dei messaggi”</w:t>
      </w:r>
      <w:r>
        <w:rPr>
          <w:rFonts w:ascii="Times New Roman" w:hAnsi="Times New Roman" w:cs="Times New Roman"/>
          <w:sz w:val="24"/>
          <w:szCs w:val="24"/>
        </w:rPr>
        <w:t xml:space="preserve">. Tuttavia si ritiene corretto, mutuare il precedente orientamento che vuole il calcolo della superfice imponibile effettuato solo sulla parte espositiva. </w:t>
      </w:r>
    </w:p>
    <w:p w14:paraId="4A9FF490" w14:textId="5673371E" w:rsidR="00266D55" w:rsidRDefault="00F91AB7" w:rsidP="00266D55">
      <w:pPr>
        <w:jc w:val="both"/>
        <w:rPr>
          <w:rFonts w:ascii="Times New Roman" w:hAnsi="Times New Roman" w:cs="Times New Roman"/>
          <w:sz w:val="24"/>
          <w:szCs w:val="24"/>
        </w:rPr>
      </w:pPr>
      <w:r>
        <w:rPr>
          <w:rFonts w:ascii="Times New Roman" w:hAnsi="Times New Roman" w:cs="Times New Roman"/>
          <w:sz w:val="24"/>
          <w:szCs w:val="24"/>
        </w:rPr>
        <w:t xml:space="preserve">In definitiva </w:t>
      </w:r>
      <w:r w:rsidR="00266D55">
        <w:rPr>
          <w:rFonts w:ascii="Times New Roman" w:hAnsi="Times New Roman" w:cs="Times New Roman"/>
          <w:sz w:val="24"/>
          <w:szCs w:val="24"/>
        </w:rPr>
        <w:t xml:space="preserve">gli impianti </w:t>
      </w:r>
      <w:r>
        <w:rPr>
          <w:rFonts w:ascii="Times New Roman" w:hAnsi="Times New Roman" w:cs="Times New Roman"/>
          <w:sz w:val="24"/>
          <w:szCs w:val="24"/>
        </w:rPr>
        <w:t>pubblicitari in regime di Canone Unico dovranno scontare sempre il pagamento calcolato per tutto il periodo dell’autorizzazione, e non solo quando diffondono messaggi reclamistici</w:t>
      </w:r>
      <w:r w:rsidR="00C41C94">
        <w:rPr>
          <w:rFonts w:ascii="Times New Roman" w:hAnsi="Times New Roman" w:cs="Times New Roman"/>
          <w:sz w:val="24"/>
          <w:szCs w:val="24"/>
        </w:rPr>
        <w:t xml:space="preserve"> </w:t>
      </w:r>
      <w:r>
        <w:rPr>
          <w:rFonts w:ascii="Times New Roman" w:hAnsi="Times New Roman" w:cs="Times New Roman"/>
          <w:sz w:val="24"/>
          <w:szCs w:val="24"/>
        </w:rPr>
        <w:t xml:space="preserve">e per la superficie utile ad accogliere i messaggi pubblicitari escludendo solo la parte della </w:t>
      </w:r>
      <w:r w:rsidR="00266D55">
        <w:rPr>
          <w:rFonts w:ascii="Times New Roman" w:hAnsi="Times New Roman" w:cs="Times New Roman"/>
          <w:sz w:val="24"/>
          <w:szCs w:val="24"/>
        </w:rPr>
        <w:t>cornice</w:t>
      </w:r>
      <w:r>
        <w:rPr>
          <w:rFonts w:ascii="Times New Roman" w:hAnsi="Times New Roman" w:cs="Times New Roman"/>
          <w:sz w:val="24"/>
          <w:szCs w:val="24"/>
        </w:rPr>
        <w:t xml:space="preserve"> </w:t>
      </w:r>
      <w:r w:rsidR="00D5271A">
        <w:rPr>
          <w:rFonts w:ascii="Times New Roman" w:hAnsi="Times New Roman" w:cs="Times New Roman"/>
          <w:sz w:val="24"/>
          <w:szCs w:val="24"/>
        </w:rPr>
        <w:t>quando questa</w:t>
      </w:r>
      <w:r w:rsidR="00C41C94">
        <w:rPr>
          <w:rFonts w:ascii="Times New Roman" w:hAnsi="Times New Roman" w:cs="Times New Roman"/>
          <w:sz w:val="24"/>
          <w:szCs w:val="24"/>
        </w:rPr>
        <w:t xml:space="preserve"> </w:t>
      </w:r>
      <w:r>
        <w:rPr>
          <w:rFonts w:ascii="Times New Roman" w:hAnsi="Times New Roman" w:cs="Times New Roman"/>
          <w:sz w:val="24"/>
          <w:szCs w:val="24"/>
        </w:rPr>
        <w:t xml:space="preserve">risulti </w:t>
      </w:r>
      <w:r w:rsidR="00266D55">
        <w:rPr>
          <w:rFonts w:ascii="Times New Roman" w:hAnsi="Times New Roman" w:cs="Times New Roman"/>
          <w:sz w:val="24"/>
          <w:szCs w:val="24"/>
        </w:rPr>
        <w:t>inidonea a diffondere messaggi pubblicitari</w:t>
      </w:r>
      <w:r>
        <w:rPr>
          <w:rFonts w:ascii="Times New Roman" w:hAnsi="Times New Roman" w:cs="Times New Roman"/>
          <w:sz w:val="24"/>
          <w:szCs w:val="24"/>
        </w:rPr>
        <w:t>.</w:t>
      </w:r>
    </w:p>
    <w:p w14:paraId="757619F1" w14:textId="77777777" w:rsidR="00266D55" w:rsidRDefault="00266D55" w:rsidP="00266D55">
      <w:pPr>
        <w:jc w:val="both"/>
        <w:rPr>
          <w:rFonts w:ascii="Times New Roman" w:hAnsi="Times New Roman" w:cs="Times New Roman"/>
          <w:sz w:val="24"/>
          <w:szCs w:val="24"/>
        </w:rPr>
      </w:pPr>
    </w:p>
    <w:p w14:paraId="4ECE2664" w14:textId="77777777" w:rsidR="00266D55" w:rsidRDefault="00266D55" w:rsidP="00266D55">
      <w:pPr>
        <w:jc w:val="both"/>
        <w:rPr>
          <w:rFonts w:ascii="Times New Roman" w:hAnsi="Times New Roman" w:cs="Times New Roman"/>
          <w:sz w:val="24"/>
          <w:szCs w:val="24"/>
        </w:rPr>
      </w:pPr>
    </w:p>
    <w:p w14:paraId="55A39D46" w14:textId="77777777" w:rsidR="00266D55" w:rsidRDefault="00266D55" w:rsidP="00266D55">
      <w:pPr>
        <w:jc w:val="both"/>
        <w:rPr>
          <w:rFonts w:ascii="Times New Roman" w:hAnsi="Times New Roman" w:cs="Times New Roman"/>
          <w:sz w:val="24"/>
          <w:szCs w:val="24"/>
        </w:rPr>
      </w:pPr>
    </w:p>
    <w:p w14:paraId="00D56332" w14:textId="77777777" w:rsidR="00266D55" w:rsidRDefault="00266D55" w:rsidP="00266D55">
      <w:pPr>
        <w:jc w:val="both"/>
        <w:rPr>
          <w:rFonts w:ascii="Times New Roman" w:hAnsi="Times New Roman" w:cs="Times New Roman"/>
          <w:sz w:val="24"/>
          <w:szCs w:val="24"/>
        </w:rPr>
      </w:pPr>
    </w:p>
    <w:p w14:paraId="6016E535" w14:textId="77777777" w:rsidR="005B116A" w:rsidRDefault="005B116A"/>
    <w:sectPr w:rsidR="005B116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08A"/>
    <w:rsid w:val="00057C90"/>
    <w:rsid w:val="00266D55"/>
    <w:rsid w:val="005B116A"/>
    <w:rsid w:val="0063408A"/>
    <w:rsid w:val="007849A1"/>
    <w:rsid w:val="00C41C94"/>
    <w:rsid w:val="00C57B4B"/>
    <w:rsid w:val="00CC5C9C"/>
    <w:rsid w:val="00D5271A"/>
    <w:rsid w:val="00F56915"/>
    <w:rsid w:val="00F91AB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0816"/>
  <w15:chartTrackingRefBased/>
  <w15:docId w15:val="{723ED7EE-3FCF-4CAC-891F-DDE9DACC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6D55"/>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01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850</Words>
  <Characters>4846</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4</cp:revision>
  <dcterms:created xsi:type="dcterms:W3CDTF">2022-11-30T06:59:00Z</dcterms:created>
  <dcterms:modified xsi:type="dcterms:W3CDTF">2022-11-30T09:45:00Z</dcterms:modified>
</cp:coreProperties>
</file>