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E4F6B" w14:textId="0C049460" w:rsidR="00060149" w:rsidRDefault="00BD4FBF">
      <w:r>
        <w:t xml:space="preserve">Articolo: il presupposto pubblicitario CUP </w:t>
      </w:r>
      <w:r w:rsidR="00855F09">
        <w:t>nel solco della giurisprudenza ICP</w:t>
      </w:r>
    </w:p>
    <w:p w14:paraId="0E53F71D" w14:textId="2E0B2A7B" w:rsidR="00BD4FBF" w:rsidRDefault="00BD4FBF">
      <w:r>
        <w:t>di Alessandro Merciari</w:t>
      </w:r>
    </w:p>
    <w:p w14:paraId="546A0E8F" w14:textId="596B467B" w:rsidR="00BD4FBF" w:rsidRDefault="00BD4FBF" w:rsidP="00626828">
      <w:pPr>
        <w:jc w:val="both"/>
      </w:pPr>
      <w:r>
        <w:t>Una recente sentenza del Tribunale di Torino riporta all’attenzione un principio importante su cui fondare il presupposto applicativo CUP in relazione alle diffusioni pubblicitarie.</w:t>
      </w:r>
    </w:p>
    <w:p w14:paraId="3C1EA3F7" w14:textId="5E3DB022" w:rsidR="00BD4FBF" w:rsidRDefault="00BD4FBF" w:rsidP="00626828">
      <w:pPr>
        <w:jc w:val="both"/>
      </w:pPr>
      <w:r>
        <w:t>Più volte abbiamo affrontato la questione e chiarito come la giurisprudenza si sia consolidata con il precedente regime dell’Imposta sulla pubblicità, considerando attratte nel presupposto qualunque forma di diffusione atta a promuovere la vendita di prodotti e servizi o finalizzata a migliorare l’immagine del soggetto pubblicizzato.</w:t>
      </w:r>
      <w:r w:rsidR="00855F09">
        <w:t xml:space="preserve"> Non avevamo ancora analizzato giurisprudenza legata a provvedimenti CUP emessi da Comuni e inerenti la solita tematica.</w:t>
      </w:r>
    </w:p>
    <w:p w14:paraId="48C6A24E" w14:textId="4EFCD309" w:rsidR="00BD4FBF" w:rsidRDefault="00BD4FBF" w:rsidP="00626828">
      <w:pPr>
        <w:jc w:val="both"/>
      </w:pPr>
      <w:r>
        <w:t>Con la sentenza n. 1151 del 10 marzo scorso, la prima Sezione Civile del Tribunale di Torino ha rigettato il ricorso presentato rispetto alla richiesta di pagamento avanzata dall’Amministrazione Comunale per l’esposizione di messaggi pubblicitari sulle vetrine di un locale sfitto all’interno di un centro commerciale.</w:t>
      </w:r>
    </w:p>
    <w:p w14:paraId="368501BB" w14:textId="34004F8E" w:rsidR="00BD4FBF" w:rsidRPr="00BD4FBF" w:rsidRDefault="00BD4FBF" w:rsidP="00BD4FBF">
      <w:pPr>
        <w:jc w:val="both"/>
        <w:rPr>
          <w:i/>
          <w:iCs/>
        </w:rPr>
      </w:pPr>
      <w:r>
        <w:t>Nella sentenza si precisa come: “</w:t>
      </w:r>
      <w:r w:rsidRPr="00BD4FBF">
        <w:rPr>
          <w:i/>
          <w:iCs/>
        </w:rPr>
        <w:t>Non risulta accoglibile neppure doglianza circa la natura non pubblicitaria dei messaggi affissi all’interno del centro commerciale, motivata dall’opponente con l’affermazione che essi non avrebbero lo «scopo di promuovere e diffondere la domanda di beni o servizi, ovvero finalizzati a migliorare l’immagine del soggetto pubblicizzato» perché apposti su vetrine di locali sfitti.</w:t>
      </w:r>
      <w:r w:rsidRPr="00BD4FBF">
        <w:rPr>
          <w:i/>
          <w:iCs/>
        </w:rPr>
        <w:t xml:space="preserve"> </w:t>
      </w:r>
      <w:r w:rsidRPr="00BD4FBF">
        <w:rPr>
          <w:i/>
          <w:iCs/>
        </w:rPr>
        <w:t>I cartelloni pubblicitari avrebbero perciò il solo fine di abbellire i locali del centro commerciale con funzione esclusivamente estetica e non di promozione di alcuna attività di impresa.</w:t>
      </w:r>
      <w:r w:rsidRPr="00BD4FBF">
        <w:rPr>
          <w:i/>
          <w:iCs/>
        </w:rPr>
        <w:t>”</w:t>
      </w:r>
    </w:p>
    <w:p w14:paraId="47BA5333" w14:textId="54933EAC" w:rsidR="00464E95" w:rsidRPr="00464E95" w:rsidRDefault="00464E95" w:rsidP="00BD4FBF">
      <w:pPr>
        <w:jc w:val="both"/>
        <w:rPr>
          <w:i/>
          <w:iCs/>
        </w:rPr>
      </w:pPr>
      <w:r w:rsidRPr="00464E95">
        <w:t>Il Giudice precisa che</w:t>
      </w:r>
      <w:r>
        <w:rPr>
          <w:i/>
          <w:iCs/>
        </w:rPr>
        <w:t>: “</w:t>
      </w:r>
      <w:r w:rsidR="00BD4FBF" w:rsidRPr="00464E95">
        <w:rPr>
          <w:i/>
          <w:iCs/>
        </w:rPr>
        <w:t>Al riguardo pare tuttavia opportuno ricordare che presupposto del canone secondo l’art. 1 comma 819 della l. n. 160/2019 è, tra l’altro: «b) la diffusione di messaggi pubblicitari, anche abusiva, mediante impianti installati su aree appartenenti al demanio o al patrimonio indisponibile degli enti, su beni privati laddove siano visibili dà luogo pubblico o aperto al pubblico del territorio comunale, ovvero all’esterno di veicoli adibiti a uso pubblico o a uso privato» e che il Regolamento del Comune di all’art. 2, lett. b) stabilisce che «per “diffusione di messaggi pubblicitari” si intende qualsiasi forma di messaggio che sia diffuso, in luoghi pubblici o aperti al pubblico, intendendosi come tale quello comunque accessibile o che sia da tali luoghi percepibile. Si altresì considerano rilevanti, ai fini della debenza del canone, tutte le forme di comunicazione aventi ad oggetto idee, beni o servizi, attuate attraverso specifici supporti al fine di orientare l’interesse del pubblico verso un prodotto, una persona, o una organizzazione pubblica o privata e non solo»</w:t>
      </w:r>
      <w:r w:rsidRPr="00464E95">
        <w:rPr>
          <w:i/>
          <w:iCs/>
        </w:rPr>
        <w:t>.</w:t>
      </w:r>
    </w:p>
    <w:p w14:paraId="54A85042" w14:textId="37C10C27" w:rsidR="00464E95" w:rsidRDefault="00464E95" w:rsidP="00BD4FBF">
      <w:pPr>
        <w:jc w:val="both"/>
      </w:pPr>
      <w:r>
        <w:t xml:space="preserve">Decisivo il rilievo </w:t>
      </w:r>
      <w:r w:rsidR="004F58BB">
        <w:t xml:space="preserve">del Tribunale </w:t>
      </w:r>
      <w:r>
        <w:t xml:space="preserve">secondo cui, </w:t>
      </w:r>
      <w:r w:rsidRPr="00464E95">
        <w:t>al di là della funzione estetica</w:t>
      </w:r>
      <w:r>
        <w:t>,</w:t>
      </w:r>
      <w:r w:rsidRPr="00464E95">
        <w:t xml:space="preserve"> </w:t>
      </w:r>
      <w:r>
        <w:t>i messaggi pubblicitari</w:t>
      </w:r>
      <w:r w:rsidRPr="00464E95">
        <w:t xml:space="preserve"> mirano ad attirare l’attenzione del cliente</w:t>
      </w:r>
      <w:r>
        <w:t xml:space="preserve">.  Si legge infatti nella sentenza: </w:t>
      </w:r>
      <w:r w:rsidRPr="00464E95">
        <w:rPr>
          <w:i/>
          <w:iCs/>
        </w:rPr>
        <w:t>“</w:t>
      </w:r>
      <w:r w:rsidR="00BD4FBF" w:rsidRPr="00464E95">
        <w:rPr>
          <w:i/>
          <w:iCs/>
        </w:rPr>
        <w:t xml:space="preserve">I messaggi pubblicitari oggetto di causa recano, a mero titolo esemplificativo: «shopping makes </w:t>
      </w:r>
      <w:proofErr w:type="spellStart"/>
      <w:r w:rsidR="00BD4FBF" w:rsidRPr="00464E95">
        <w:rPr>
          <w:i/>
          <w:iCs/>
        </w:rPr>
        <w:t>everything</w:t>
      </w:r>
      <w:proofErr w:type="spellEnd"/>
      <w:r w:rsidR="00BD4FBF" w:rsidRPr="00464E95">
        <w:rPr>
          <w:i/>
          <w:iCs/>
        </w:rPr>
        <w:t xml:space="preserve"> </w:t>
      </w:r>
      <w:proofErr w:type="spellStart"/>
      <w:r w:rsidR="00BD4FBF" w:rsidRPr="00464E95">
        <w:rPr>
          <w:i/>
          <w:iCs/>
        </w:rPr>
        <w:t>better</w:t>
      </w:r>
      <w:proofErr w:type="spellEnd"/>
      <w:r w:rsidR="00BD4FBF" w:rsidRPr="00464E95">
        <w:rPr>
          <w:i/>
          <w:iCs/>
        </w:rPr>
        <w:t>», «un nuovo centro dedicato a te prossimamente qui» e ancora «nuove storie nuove passioni, prossimamente qui» e, al di là della funzione estetica che l’opponente attribuisce loro, mirano ad attirare l’attenzione del cliente frequentatore del centro commerciale e ad indurlo a recarvisi nuovamente in vista delle nuove aperture, invitando implicitamente all’acquisto all’interno del centro stesso e dei suoi negozi.</w:t>
      </w:r>
      <w:r>
        <w:rPr>
          <w:i/>
          <w:iCs/>
        </w:rPr>
        <w:t>”</w:t>
      </w:r>
    </w:p>
    <w:p w14:paraId="7716FB61" w14:textId="77777777" w:rsidR="004F58BB" w:rsidRDefault="00464E95" w:rsidP="00BD4FBF">
      <w:pPr>
        <w:jc w:val="both"/>
      </w:pPr>
      <w:r>
        <w:t xml:space="preserve">Ciò che conta è la diffusione del messaggio pubblicitario, indipendentemente dalla volontà di chi ha realizzato l’iniziativa. Principio che trova come detto conferma nella </w:t>
      </w:r>
      <w:r w:rsidR="00BD4FBF" w:rsidRPr="00464E95">
        <w:t>giurisprudenza di legittimità con pronunce rese in riferimento all’abrogato art. 5, d.lgs. n. 507/1993 in tema di imposta comunale sulla pubblicità</w:t>
      </w:r>
      <w:r>
        <w:t xml:space="preserve">. </w:t>
      </w:r>
      <w:r w:rsidR="00BD4FBF" w:rsidRPr="00464E95">
        <w:t xml:space="preserve"> </w:t>
      </w:r>
    </w:p>
    <w:p w14:paraId="078F603F" w14:textId="3C89AB60" w:rsidR="004F58BB" w:rsidRDefault="00464E95" w:rsidP="00BD4FBF">
      <w:pPr>
        <w:jc w:val="both"/>
      </w:pPr>
      <w:r>
        <w:t>P</w:t>
      </w:r>
      <w:r w:rsidR="00BD4FBF" w:rsidRPr="00464E95">
        <w:t xml:space="preserve">rincipio </w:t>
      </w:r>
      <w:r w:rsidR="003842C4">
        <w:t xml:space="preserve">peraltro </w:t>
      </w:r>
      <w:r>
        <w:t>che viene riportato nel regolamento comunale</w:t>
      </w:r>
      <w:r w:rsidR="004F58BB">
        <w:t xml:space="preserve"> del caso esaminato dal Tribunale di Torino </w:t>
      </w:r>
      <w:r w:rsidR="003842C4">
        <w:t>e</w:t>
      </w:r>
      <w:r w:rsidR="004F58BB">
        <w:t xml:space="preserve"> che ritroviamo nella maggior parte dei regolamenti adottati dai Comuni italiani nei quali si </w:t>
      </w:r>
      <w:r>
        <w:t xml:space="preserve"> prevede:</w:t>
      </w:r>
      <w:r w:rsidR="00BD4FBF" w:rsidRPr="00464E95">
        <w:t xml:space="preserve"> </w:t>
      </w:r>
      <w:r w:rsidR="00BD4FBF" w:rsidRPr="00464E95">
        <w:rPr>
          <w:i/>
          <w:iCs/>
        </w:rPr>
        <w:t xml:space="preserve">”costituisce fatto imponibile qualsiasi mezzo di comunicazione con il pubblico, il quale risulti – indipendentemente dalla ragione e finalità della sua adozione – obbiettivamente idoneo a far conoscere indiscriminatamente alla massa indeterminata di possibili acquirenti ed utenti cui si rivolge il nome, l’attività </w:t>
      </w:r>
      <w:r w:rsidR="00BD4FBF" w:rsidRPr="00464E95">
        <w:rPr>
          <w:i/>
          <w:iCs/>
        </w:rPr>
        <w:lastRenderedPageBreak/>
        <w:t>ed il prodotto di una azienda, non implicando la funzione pubblicitaria una vera e propria operazione reclamistica o propagandistica”</w:t>
      </w:r>
      <w:r w:rsidR="00BD4FBF" w:rsidRPr="00464E95">
        <w:t xml:space="preserve">. </w:t>
      </w:r>
    </w:p>
    <w:p w14:paraId="45998275" w14:textId="76E030BE" w:rsidR="004F58BB" w:rsidRPr="004F58BB" w:rsidRDefault="004F58BB" w:rsidP="00BD4FBF">
      <w:pPr>
        <w:jc w:val="both"/>
        <w:rPr>
          <w:i/>
          <w:iCs/>
        </w:rPr>
      </w:pPr>
      <w:r>
        <w:t>I giudici proseguono: “</w:t>
      </w:r>
      <w:r w:rsidR="00BD4FBF" w:rsidRPr="004F58BB">
        <w:rPr>
          <w:i/>
          <w:iCs/>
        </w:rPr>
        <w:t xml:space="preserve">Occorre, infatti, distinguere la funzione sostanzialmente decorativa da quella pubblicitaria in grado di veicolare un messaggio diretto a raggiungere una pluralità di possibili acquirenti. Nel caso di specie, come accertato nella sentenza impugnata si tratta di “grandi fotografie che coprono l’intera superficie delle vetrine di un supermercato e rappresentano cibi vari (latte, verdure, pane, formaggi, ecc.), materie prime, scene agresti, persone che cucinano, persone che consumano pasti in compagnia della famiglia o di amici”. Tali immagini inequivocabilmente promuovono l’attività dell’esercente e sono dirette a richiamare l’attenzione dell’eventuale acquirente, in quanto sono strettamente attinenti all’attività commerciale svolta all’interno del supermercato. </w:t>
      </w:r>
    </w:p>
    <w:p w14:paraId="4913D918" w14:textId="77777777" w:rsidR="004F58BB" w:rsidRPr="004F58BB" w:rsidRDefault="00BD4FBF" w:rsidP="00BD4FBF">
      <w:pPr>
        <w:jc w:val="both"/>
        <w:rPr>
          <w:i/>
          <w:iCs/>
        </w:rPr>
      </w:pPr>
      <w:r w:rsidRPr="004F58BB">
        <w:rPr>
          <w:i/>
          <w:iCs/>
        </w:rPr>
        <w:t>Va ritenuta, pertanto, la natura pubblicitaria dei mezzi sottoposti a tassazione oggetto del presente giudizio, assolvendo gli stessi ad una funzione promozionale di vendita» (</w:t>
      </w:r>
      <w:proofErr w:type="spellStart"/>
      <w:r w:rsidRPr="004F58BB">
        <w:rPr>
          <w:i/>
          <w:iCs/>
        </w:rPr>
        <w:t>cass</w:t>
      </w:r>
      <w:proofErr w:type="spellEnd"/>
      <w:r w:rsidRPr="004F58BB">
        <w:rPr>
          <w:i/>
          <w:iCs/>
        </w:rPr>
        <w:t xml:space="preserve">. civ., n. 1359/2019, in motivazione; v. anche </w:t>
      </w:r>
      <w:proofErr w:type="spellStart"/>
      <w:r w:rsidRPr="004F58BB">
        <w:rPr>
          <w:i/>
          <w:iCs/>
        </w:rPr>
        <w:t>cass</w:t>
      </w:r>
      <w:proofErr w:type="spellEnd"/>
      <w:r w:rsidRPr="004F58BB">
        <w:rPr>
          <w:i/>
          <w:iCs/>
        </w:rPr>
        <w:t>. civ., n. 15449/2010).</w:t>
      </w:r>
    </w:p>
    <w:p w14:paraId="139E563B" w14:textId="3A3963E2" w:rsidR="00BD4FBF" w:rsidRDefault="00BD4FBF" w:rsidP="00BD4FBF">
      <w:pPr>
        <w:jc w:val="both"/>
        <w:rPr>
          <w:i/>
          <w:iCs/>
        </w:rPr>
      </w:pPr>
      <w:r w:rsidRPr="004F58BB">
        <w:rPr>
          <w:i/>
          <w:iCs/>
        </w:rPr>
        <w:t>Le vetrofanie, le immagini e i messaggi pubblicitari oggetto di accertamento sono volti a promuovere il centro commerciale e tutte, sebbene genericamente, le attività di vendita che vi si svolgono all’interno, cosicché non può dubitarsi del loro contenuto pubblicitario.</w:t>
      </w:r>
      <w:r w:rsidR="004F58BB">
        <w:rPr>
          <w:i/>
          <w:iCs/>
        </w:rPr>
        <w:t>”</w:t>
      </w:r>
    </w:p>
    <w:p w14:paraId="55B94BD1" w14:textId="6B4C57FE" w:rsidR="00626828" w:rsidRDefault="00626828" w:rsidP="00BD4FBF">
      <w:pPr>
        <w:jc w:val="both"/>
      </w:pPr>
      <w:r>
        <w:t xml:space="preserve">Sul tema giova ricordare </w:t>
      </w:r>
      <w:r w:rsidR="003842C4">
        <w:t xml:space="preserve">infine </w:t>
      </w:r>
      <w:r>
        <w:t xml:space="preserve"> il principio che vede il formarsi del presupposto applicativo per la diffusione di messaggi pubblicitari anche in quei luoghi, come l’interno di un centro commerciale, che risultano aperti al pubblico.</w:t>
      </w:r>
    </w:p>
    <w:p w14:paraId="739D264E" w14:textId="28EF889B" w:rsidR="00626828" w:rsidRDefault="00626828" w:rsidP="00626828">
      <w:pPr>
        <w:jc w:val="both"/>
      </w:pPr>
      <w:r>
        <w:t>L’</w:t>
      </w:r>
      <w:r>
        <w:t xml:space="preserve">orientamento </w:t>
      </w:r>
      <w:r>
        <w:t xml:space="preserve">in questo senso, che viene in aiuto anche a casi come quello in parola affrontato dai Giudici torinesi, </w:t>
      </w:r>
      <w:r w:rsidR="003842C4">
        <w:t>deriva</w:t>
      </w:r>
      <w:r>
        <w:t xml:space="preserve"> </w:t>
      </w:r>
      <w:r>
        <w:t>dalla sentenza di Corte di Cassazione numero 1930</w:t>
      </w:r>
      <w:r>
        <w:t xml:space="preserve"> </w:t>
      </w:r>
      <w:r>
        <w:t>del 1990, costantemente richiamata nelle ordinanze emesse negli anni successivi.</w:t>
      </w:r>
    </w:p>
    <w:p w14:paraId="7668D949" w14:textId="0D539110" w:rsidR="00626828" w:rsidRDefault="00626828" w:rsidP="00626828">
      <w:pPr>
        <w:jc w:val="both"/>
      </w:pPr>
      <w:r>
        <w:t>La sentenza madre risalente ormai al secolo scorso ma ancora attualissima, affrontava un</w:t>
      </w:r>
      <w:r>
        <w:t xml:space="preserve"> </w:t>
      </w:r>
      <w:r>
        <w:t>contenzioso basato sulla formazione del presupposto pubblicitario in merito all’esposizione di una</w:t>
      </w:r>
      <w:r>
        <w:t xml:space="preserve"> </w:t>
      </w:r>
      <w:r>
        <w:t>targa esposta nel cortile interno di un fabbricato, dove a detta del ricorrente sarebbe stato falsato il</w:t>
      </w:r>
      <w:r>
        <w:t xml:space="preserve"> </w:t>
      </w:r>
      <w:r>
        <w:t>concetto di "luogo aperto al pubblico".</w:t>
      </w:r>
      <w:r>
        <w:t xml:space="preserve"> </w:t>
      </w:r>
      <w:r>
        <w:t>I giudic</w:t>
      </w:r>
      <w:r>
        <w:t>i</w:t>
      </w:r>
      <w:r>
        <w:t xml:space="preserve"> ritennero infondato il motivo di doglianza in quanto, l’allora vigente art. 6 del D.P.R. 26</w:t>
      </w:r>
      <w:r>
        <w:t xml:space="preserve"> </w:t>
      </w:r>
      <w:r>
        <w:t>ottobre 1972, n. 639 in tema di prelievo sulla pubblicità, prescriveva l’applicabilità dell’imposta per</w:t>
      </w:r>
      <w:r>
        <w:t xml:space="preserve"> </w:t>
      </w:r>
      <w:r>
        <w:t>i casi in cui il mezzo pubblicitario fosse esposto o effettuato " in luoghi pubblici o aperti al pubblico</w:t>
      </w:r>
      <w:r>
        <w:t xml:space="preserve"> </w:t>
      </w:r>
      <w:r>
        <w:t>o comunque da tali luoghi percepibili".</w:t>
      </w:r>
    </w:p>
    <w:p w14:paraId="6BAEB657" w14:textId="42977265" w:rsidR="00626828" w:rsidRDefault="00626828" w:rsidP="00626828">
      <w:pPr>
        <w:jc w:val="both"/>
      </w:pPr>
      <w:r>
        <w:t>Nella sentenza si legge</w:t>
      </w:r>
      <w:r w:rsidR="003842C4">
        <w:t>va</w:t>
      </w:r>
      <w:r>
        <w:t>: “</w:t>
      </w:r>
      <w:r w:rsidRPr="00626828">
        <w:rPr>
          <w:i/>
          <w:iCs/>
        </w:rPr>
        <w:t>È chiaro, dall'esegesi della norma, che la legge ha voluto sottoporre a</w:t>
      </w:r>
      <w:r w:rsidRPr="00626828">
        <w:rPr>
          <w:i/>
          <w:iCs/>
        </w:rPr>
        <w:t xml:space="preserve"> </w:t>
      </w:r>
      <w:r w:rsidRPr="00626828">
        <w:rPr>
          <w:i/>
          <w:iCs/>
        </w:rPr>
        <w:t>tassazione l'attività di chi, con i mezzi di cui si è detto precedentemente, intenda far pervenire ad altri</w:t>
      </w:r>
      <w:r w:rsidRPr="00626828">
        <w:rPr>
          <w:i/>
          <w:iCs/>
        </w:rPr>
        <w:t xml:space="preserve"> </w:t>
      </w:r>
      <w:r w:rsidRPr="00626828">
        <w:rPr>
          <w:i/>
          <w:iCs/>
        </w:rPr>
        <w:t>un messaggio avente finalità "pubblicitarie" (in senso lato, come pure si è detto); e a tal fine ha previsto</w:t>
      </w:r>
      <w:r w:rsidRPr="00626828">
        <w:rPr>
          <w:i/>
          <w:iCs/>
        </w:rPr>
        <w:t xml:space="preserve"> </w:t>
      </w:r>
      <w:r w:rsidRPr="00626828">
        <w:rPr>
          <w:i/>
          <w:iCs/>
        </w:rPr>
        <w:t>che l'attività è tassabile se viene svolta in luogo pubblico o aperto al pubblico, ovvero in un luogo che da</w:t>
      </w:r>
      <w:r w:rsidRPr="00626828">
        <w:rPr>
          <w:i/>
          <w:iCs/>
        </w:rPr>
        <w:t xml:space="preserve"> </w:t>
      </w:r>
      <w:r w:rsidRPr="00626828">
        <w:rPr>
          <w:i/>
          <w:iCs/>
        </w:rPr>
        <w:t>quelli è percepibile. È chiaro, cioè, che il legislatore ha presunto che il messaggio pubblicitario abbia dei</w:t>
      </w:r>
      <w:r w:rsidRPr="00626828">
        <w:rPr>
          <w:i/>
          <w:iCs/>
        </w:rPr>
        <w:t xml:space="preserve"> </w:t>
      </w:r>
      <w:r w:rsidRPr="00626828">
        <w:rPr>
          <w:i/>
          <w:iCs/>
        </w:rPr>
        <w:t>possibili destinatari se viene lanciato da uno dei detti luoghi o in direzione di essi; ed è incontestabile,</w:t>
      </w:r>
      <w:r w:rsidRPr="00626828">
        <w:rPr>
          <w:i/>
          <w:iCs/>
        </w:rPr>
        <w:t xml:space="preserve"> </w:t>
      </w:r>
      <w:r w:rsidRPr="00626828">
        <w:rPr>
          <w:i/>
          <w:iCs/>
        </w:rPr>
        <w:t>allora, che il presupposto dell’imponibilità va ricercato nell'astratta possibilità del messaggio, in</w:t>
      </w:r>
      <w:r w:rsidRPr="00626828">
        <w:rPr>
          <w:i/>
          <w:iCs/>
        </w:rPr>
        <w:t xml:space="preserve"> </w:t>
      </w:r>
      <w:r w:rsidRPr="00626828">
        <w:rPr>
          <w:i/>
          <w:iCs/>
        </w:rPr>
        <w:t>rapporto all'ubicazione, di avere un numero indeterminato di destinatari, che diventano tali solo</w:t>
      </w:r>
      <w:r w:rsidRPr="00626828">
        <w:rPr>
          <w:i/>
          <w:iCs/>
        </w:rPr>
        <w:t xml:space="preserve"> </w:t>
      </w:r>
      <w:r w:rsidRPr="00626828">
        <w:rPr>
          <w:i/>
          <w:iCs/>
        </w:rPr>
        <w:t>perché vengono a trovarsi in quel luogo determinato.</w:t>
      </w:r>
      <w:r w:rsidRPr="00626828">
        <w:rPr>
          <w:i/>
          <w:iCs/>
        </w:rPr>
        <w:t>”</w:t>
      </w:r>
    </w:p>
    <w:p w14:paraId="41BAC198" w14:textId="2E224D31" w:rsidR="003842C4" w:rsidRDefault="003842C4" w:rsidP="00626828">
      <w:pPr>
        <w:jc w:val="both"/>
      </w:pPr>
      <w:r>
        <w:t>In conclusione, recepiamo questo nuovo e importante pronunciamento in materia di presupposto pubblicitario ai fini  CUP che si inserisce nel solco tracciato dalla giurisprudenza formatasi in materia di Imposta sulla Pubblicità.</w:t>
      </w:r>
    </w:p>
    <w:p w14:paraId="5AE5B0FD" w14:textId="77777777" w:rsidR="003842C4" w:rsidRPr="003842C4" w:rsidRDefault="003842C4" w:rsidP="00626828">
      <w:pPr>
        <w:jc w:val="both"/>
      </w:pPr>
    </w:p>
    <w:sectPr w:rsidR="003842C4" w:rsidRPr="003842C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2F9"/>
    <w:rsid w:val="00060149"/>
    <w:rsid w:val="003842C4"/>
    <w:rsid w:val="00464E95"/>
    <w:rsid w:val="004F58BB"/>
    <w:rsid w:val="00626828"/>
    <w:rsid w:val="007B1496"/>
    <w:rsid w:val="00855F09"/>
    <w:rsid w:val="00BD4FBF"/>
    <w:rsid w:val="00CD2A7E"/>
    <w:rsid w:val="00E802F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6BA7"/>
  <w15:chartTrackingRefBased/>
  <w15:docId w15:val="{7CC423F0-7B2C-4F70-B4E6-DCAFEB231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E8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E802F9"/>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E802F9"/>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E802F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E802F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02F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02F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02F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02F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E802F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E802F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E802F9"/>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E802F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E802F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02F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02F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02F9"/>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02F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02F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02F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02F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02F9"/>
    <w:rPr>
      <w:i/>
      <w:iCs/>
      <w:color w:val="404040" w:themeColor="text1" w:themeTint="BF"/>
    </w:rPr>
  </w:style>
  <w:style w:type="paragraph" w:styleId="Paragrafoelenco">
    <w:name w:val="List Paragraph"/>
    <w:basedOn w:val="Normale"/>
    <w:uiPriority w:val="34"/>
    <w:qFormat/>
    <w:rsid w:val="00E802F9"/>
    <w:pPr>
      <w:ind w:left="720"/>
      <w:contextualSpacing/>
    </w:pPr>
  </w:style>
  <w:style w:type="character" w:styleId="Enfasiintensa">
    <w:name w:val="Intense Emphasis"/>
    <w:basedOn w:val="Carpredefinitoparagrafo"/>
    <w:uiPriority w:val="21"/>
    <w:qFormat/>
    <w:rsid w:val="00E802F9"/>
    <w:rPr>
      <w:i/>
      <w:iCs/>
      <w:color w:val="2F5496" w:themeColor="accent1" w:themeShade="BF"/>
    </w:rPr>
  </w:style>
  <w:style w:type="paragraph" w:styleId="Citazioneintensa">
    <w:name w:val="Intense Quote"/>
    <w:basedOn w:val="Normale"/>
    <w:next w:val="Normale"/>
    <w:link w:val="CitazioneintensaCarattere"/>
    <w:uiPriority w:val="30"/>
    <w:qFormat/>
    <w:rsid w:val="00E8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E802F9"/>
    <w:rPr>
      <w:i/>
      <w:iCs/>
      <w:color w:val="2F5496" w:themeColor="accent1" w:themeShade="BF"/>
    </w:rPr>
  </w:style>
  <w:style w:type="character" w:styleId="Riferimentointenso">
    <w:name w:val="Intense Reference"/>
    <w:basedOn w:val="Carpredefinitoparagrafo"/>
    <w:uiPriority w:val="32"/>
    <w:qFormat/>
    <w:rsid w:val="00E802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1208</Words>
  <Characters>6890</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6</cp:revision>
  <dcterms:created xsi:type="dcterms:W3CDTF">2025-04-01T11:06:00Z</dcterms:created>
  <dcterms:modified xsi:type="dcterms:W3CDTF">2025-04-01T13:31:00Z</dcterms:modified>
</cp:coreProperties>
</file>