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5303" w14:textId="77777777" w:rsidR="00A90400" w:rsidRPr="005A075B" w:rsidRDefault="00A90400" w:rsidP="00A90400">
      <w:pPr>
        <w:jc w:val="center"/>
        <w:rPr>
          <w:b/>
          <w:bCs/>
          <w:sz w:val="32"/>
          <w:szCs w:val="32"/>
        </w:rPr>
      </w:pPr>
      <w:r w:rsidRPr="005A075B">
        <w:rPr>
          <w:b/>
          <w:bCs/>
          <w:sz w:val="32"/>
          <w:szCs w:val="32"/>
        </w:rPr>
        <w:t>L’attività di accertamento per le diffusioni pubblicitarie e per le occupazioni di suolo pubblico</w:t>
      </w:r>
    </w:p>
    <w:p w14:paraId="3DBC694A" w14:textId="77777777" w:rsidR="00A90400" w:rsidRDefault="00A90400" w:rsidP="00A90400"/>
    <w:p w14:paraId="00201580" w14:textId="77777777" w:rsidR="00A90400" w:rsidRPr="00350E33" w:rsidRDefault="00A90400" w:rsidP="00A90400">
      <w:pPr>
        <w:rPr>
          <w:rFonts w:cstheme="minorHAnsi"/>
          <w:b/>
          <w:bCs/>
        </w:rPr>
      </w:pPr>
      <w:r w:rsidRPr="00350E33">
        <w:rPr>
          <w:rFonts w:cstheme="minorHAnsi"/>
          <w:b/>
          <w:bCs/>
        </w:rPr>
        <w:t xml:space="preserve">Introduzione </w:t>
      </w:r>
    </w:p>
    <w:p w14:paraId="69E58C44" w14:textId="77777777" w:rsidR="00A90400" w:rsidRDefault="00A90400" w:rsidP="00443A2F">
      <w:pPr>
        <w:jc w:val="center"/>
        <w:rPr>
          <w:rFonts w:cstheme="minorHAnsi"/>
          <w:b/>
          <w:bCs/>
        </w:rPr>
      </w:pPr>
      <w:r w:rsidRPr="00350E33">
        <w:rPr>
          <w:rFonts w:cstheme="minorHAnsi"/>
          <w:b/>
          <w:bCs/>
        </w:rPr>
        <w:t>PARTE I - L’attività di accertamento per le diffusioni pubblicitarie</w:t>
      </w:r>
    </w:p>
    <w:p w14:paraId="12BD88A0" w14:textId="77777777" w:rsidR="00443A2F" w:rsidRPr="00350E33" w:rsidRDefault="00443A2F" w:rsidP="00443A2F">
      <w:pPr>
        <w:jc w:val="center"/>
        <w:rPr>
          <w:rFonts w:cstheme="minorHAnsi"/>
          <w:b/>
          <w:bCs/>
        </w:rPr>
      </w:pPr>
    </w:p>
    <w:p w14:paraId="2642F276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Presupposto del canone in relazione alle diffusioni pubblicitarie</w:t>
      </w:r>
    </w:p>
    <w:p w14:paraId="4083466B" w14:textId="46A0C23F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 messaggi pubblicitari</w:t>
      </w:r>
    </w:p>
    <w:p w14:paraId="638BAC44" w14:textId="42EE80FD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 luoghi di esposizione</w:t>
      </w:r>
    </w:p>
    <w:p w14:paraId="2F0162FA" w14:textId="77777777" w:rsidR="00443A2F" w:rsidRPr="00A90400" w:rsidRDefault="00443A2F" w:rsidP="00443A2F">
      <w:pPr>
        <w:pStyle w:val="Paragrafoelenco"/>
        <w:ind w:left="1080"/>
        <w:rPr>
          <w:rFonts w:cstheme="minorHAnsi"/>
          <w:i/>
          <w:iCs/>
        </w:rPr>
      </w:pPr>
    </w:p>
    <w:p w14:paraId="1FF2FA17" w14:textId="01366C26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 xml:space="preserve">Soggettività attiva: questioni di competenza tra Enti territoriali </w:t>
      </w:r>
    </w:p>
    <w:p w14:paraId="7D6D01B4" w14:textId="77777777" w:rsidR="00443A2F" w:rsidRPr="00A90400" w:rsidRDefault="00443A2F" w:rsidP="00443A2F">
      <w:pPr>
        <w:pStyle w:val="Paragrafoelenco"/>
        <w:rPr>
          <w:rFonts w:cstheme="minorHAnsi"/>
        </w:rPr>
      </w:pPr>
    </w:p>
    <w:p w14:paraId="23517388" w14:textId="31138E47" w:rsidR="00443A2F" w:rsidRPr="00443A2F" w:rsidRDefault="00A90400" w:rsidP="00443A2F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Soggettività passiva e titolo amministrativo: cosa è cambiato con l’avvento del canone</w:t>
      </w:r>
    </w:p>
    <w:p w14:paraId="1B9E4F35" w14:textId="77777777" w:rsidR="00443A2F" w:rsidRPr="00A90400" w:rsidRDefault="00443A2F" w:rsidP="00443A2F">
      <w:pPr>
        <w:pStyle w:val="Paragrafoelenco"/>
        <w:rPr>
          <w:rFonts w:cstheme="minorHAnsi"/>
        </w:rPr>
      </w:pPr>
    </w:p>
    <w:p w14:paraId="235E8F90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Criterio di misurazione e calcolo</w:t>
      </w:r>
    </w:p>
    <w:p w14:paraId="287CC0D8" w14:textId="50FCED94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superficie imponibile</w:t>
      </w:r>
    </w:p>
    <w:p w14:paraId="20B26182" w14:textId="731E32C1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Il criterio di misurazione</w:t>
      </w:r>
    </w:p>
    <w:p w14:paraId="2DABEABA" w14:textId="6174E7FA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Il criterio di misurazione per le insegne d’esercizio</w:t>
      </w:r>
    </w:p>
    <w:p w14:paraId="1B8CCB8C" w14:textId="77777777" w:rsidR="00443A2F" w:rsidRPr="00A90400" w:rsidRDefault="00443A2F" w:rsidP="00443A2F">
      <w:pPr>
        <w:pStyle w:val="Paragrafoelenco"/>
        <w:ind w:left="1080"/>
        <w:rPr>
          <w:rFonts w:cstheme="minorHAnsi"/>
          <w:i/>
          <w:iCs/>
        </w:rPr>
      </w:pPr>
    </w:p>
    <w:p w14:paraId="7DB65DDA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analisi di alcune fattispecie con criteri di calcolo differenti</w:t>
      </w:r>
    </w:p>
    <w:p w14:paraId="698D3844" w14:textId="11081EC9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pubblicità sui veicoli del TPL</w:t>
      </w:r>
    </w:p>
    <w:p w14:paraId="16E95495" w14:textId="7A1896D7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pubblicità realizzata sui taxi</w:t>
      </w:r>
    </w:p>
    <w:p w14:paraId="1D803648" w14:textId="3341D998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pubblicità sui veicoli speciali – camion vela</w:t>
      </w:r>
    </w:p>
    <w:p w14:paraId="77EFFF11" w14:textId="3AA8211C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pubblicità su veicoli aziendali</w:t>
      </w:r>
    </w:p>
    <w:p w14:paraId="7F26E751" w14:textId="77777777" w:rsidR="00443A2F" w:rsidRPr="00A90400" w:rsidRDefault="00443A2F" w:rsidP="00443A2F">
      <w:pPr>
        <w:pStyle w:val="Paragrafoelenco"/>
        <w:ind w:left="1080"/>
        <w:rPr>
          <w:rFonts w:cstheme="minorHAnsi"/>
          <w:i/>
          <w:iCs/>
        </w:rPr>
      </w:pPr>
    </w:p>
    <w:p w14:paraId="583B6C87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Le esenzioni e le riduzioni: la potestà dei comuni e i limiti</w:t>
      </w:r>
    </w:p>
    <w:p w14:paraId="04B754F5" w14:textId="3485BE7A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lettera B del comma 833</w:t>
      </w:r>
    </w:p>
    <w:p w14:paraId="5F44BE35" w14:textId="2D087238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lettera L del comma 833</w:t>
      </w:r>
    </w:p>
    <w:p w14:paraId="1E9B0256" w14:textId="27FD65AA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Il caso delle insegne degli uffici postali</w:t>
      </w:r>
    </w:p>
    <w:p w14:paraId="77B72F00" w14:textId="3D6BD127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lettera N del comma 833</w:t>
      </w:r>
    </w:p>
    <w:p w14:paraId="4037AC5A" w14:textId="17881579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lettera P del comma 833</w:t>
      </w:r>
    </w:p>
    <w:p w14:paraId="2B4BB987" w14:textId="355965AD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lettera Q del comma 833</w:t>
      </w:r>
    </w:p>
    <w:p w14:paraId="23F86127" w14:textId="216F8DFE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Le riduzioni in ambito CUP</w:t>
      </w:r>
    </w:p>
    <w:p w14:paraId="60600867" w14:textId="77777777" w:rsidR="0043670E" w:rsidRDefault="0043670E" w:rsidP="00443A2F">
      <w:pPr>
        <w:jc w:val="center"/>
        <w:rPr>
          <w:rFonts w:cstheme="minorHAnsi"/>
        </w:rPr>
      </w:pPr>
    </w:p>
    <w:p w14:paraId="30ACA0B6" w14:textId="77777777" w:rsidR="0043670E" w:rsidRDefault="0043670E" w:rsidP="00443A2F">
      <w:pPr>
        <w:jc w:val="center"/>
        <w:rPr>
          <w:rFonts w:cstheme="minorHAnsi"/>
        </w:rPr>
      </w:pPr>
    </w:p>
    <w:p w14:paraId="737374EE" w14:textId="77777777" w:rsidR="0043670E" w:rsidRDefault="0043670E" w:rsidP="00443A2F">
      <w:pPr>
        <w:jc w:val="center"/>
        <w:rPr>
          <w:rFonts w:cstheme="minorHAnsi"/>
        </w:rPr>
      </w:pPr>
    </w:p>
    <w:p w14:paraId="1F12F2DB" w14:textId="77777777" w:rsidR="0043670E" w:rsidRDefault="0043670E" w:rsidP="00443A2F">
      <w:pPr>
        <w:jc w:val="center"/>
        <w:rPr>
          <w:rFonts w:cstheme="minorHAnsi"/>
        </w:rPr>
      </w:pPr>
    </w:p>
    <w:p w14:paraId="2E7A8B73" w14:textId="77777777" w:rsidR="0043670E" w:rsidRDefault="0043670E" w:rsidP="00443A2F">
      <w:pPr>
        <w:jc w:val="center"/>
        <w:rPr>
          <w:rFonts w:cstheme="minorHAnsi"/>
        </w:rPr>
      </w:pPr>
    </w:p>
    <w:p w14:paraId="15E13BC6" w14:textId="77777777" w:rsidR="0043670E" w:rsidRDefault="0043670E" w:rsidP="00443A2F">
      <w:pPr>
        <w:jc w:val="center"/>
        <w:rPr>
          <w:rFonts w:cstheme="minorHAnsi"/>
        </w:rPr>
      </w:pPr>
    </w:p>
    <w:p w14:paraId="41E9BBF5" w14:textId="77777777" w:rsidR="0043670E" w:rsidRDefault="0043670E" w:rsidP="00443A2F">
      <w:pPr>
        <w:jc w:val="center"/>
        <w:rPr>
          <w:rFonts w:cstheme="minorHAnsi"/>
        </w:rPr>
      </w:pPr>
    </w:p>
    <w:p w14:paraId="7ABF6C74" w14:textId="7CBEE1CF" w:rsidR="00A90400" w:rsidRDefault="00A90400" w:rsidP="00443A2F">
      <w:pPr>
        <w:jc w:val="center"/>
        <w:rPr>
          <w:rFonts w:cstheme="minorHAnsi"/>
          <w:b/>
          <w:bCs/>
        </w:rPr>
      </w:pPr>
      <w:r w:rsidRPr="00350E33">
        <w:rPr>
          <w:rFonts w:cstheme="minorHAnsi"/>
        </w:rPr>
        <w:lastRenderedPageBreak/>
        <w:br/>
      </w:r>
      <w:r w:rsidRPr="00350E33">
        <w:rPr>
          <w:rFonts w:cstheme="minorHAnsi"/>
          <w:b/>
          <w:bCs/>
        </w:rPr>
        <w:t>PARTE II - L’attività di accertamento per le occupazioni di suolo pubblico</w:t>
      </w:r>
    </w:p>
    <w:p w14:paraId="2D188805" w14:textId="77777777" w:rsidR="0043670E" w:rsidRPr="00350E33" w:rsidRDefault="0043670E" w:rsidP="00443A2F">
      <w:pPr>
        <w:jc w:val="center"/>
        <w:rPr>
          <w:rFonts w:cstheme="minorHAnsi"/>
          <w:b/>
          <w:bCs/>
        </w:rPr>
      </w:pPr>
    </w:p>
    <w:p w14:paraId="1CB0902F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 xml:space="preserve">Presupposto del canone in relazione alle occupazioni di suolo pubblico </w:t>
      </w:r>
    </w:p>
    <w:p w14:paraId="15B32716" w14:textId="0377E4B1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Patrimonio disponibile e indisponibile</w:t>
      </w:r>
    </w:p>
    <w:p w14:paraId="23E61680" w14:textId="3EB6D876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L'applicazione del CUP alle occupazioni su aree private ad uso pubblico</w:t>
      </w:r>
    </w:p>
    <w:p w14:paraId="3B415C11" w14:textId="2B732548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I requisiti della dicatio ad patriam</w:t>
      </w:r>
    </w:p>
    <w:p w14:paraId="2D2590C9" w14:textId="77777777" w:rsidR="0043670E" w:rsidRPr="00A90400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3C98203C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 xml:space="preserve">Soggettività attiva: questioni di competenza tra Enti territoriali </w:t>
      </w:r>
    </w:p>
    <w:p w14:paraId="00AC746C" w14:textId="34BC84E1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questione dell’applicazione del comma 820</w:t>
      </w:r>
    </w:p>
    <w:p w14:paraId="765CC921" w14:textId="77777777" w:rsidR="0043670E" w:rsidRPr="00A90400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33196A60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Soggettività passiva e titolo amministrativo: cosa è cambiato con l’avvento del canone</w:t>
      </w:r>
    </w:p>
    <w:p w14:paraId="7E1D8311" w14:textId="77777777" w:rsidR="0043670E" w:rsidRPr="00350E33" w:rsidRDefault="0043670E" w:rsidP="0043670E">
      <w:pPr>
        <w:pStyle w:val="Paragrafoelenco"/>
        <w:rPr>
          <w:rFonts w:cstheme="minorHAnsi"/>
        </w:rPr>
      </w:pPr>
    </w:p>
    <w:p w14:paraId="7112B0C6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Criterio di misurazione e calcolo</w:t>
      </w:r>
    </w:p>
    <w:p w14:paraId="1859B014" w14:textId="3317A5E0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Gli elementi che compongono la formazione del calcolo</w:t>
      </w:r>
    </w:p>
    <w:p w14:paraId="0855C846" w14:textId="2FFD61BD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durata dell’occupazione</w:t>
      </w:r>
    </w:p>
    <w:p w14:paraId="472C6BC4" w14:textId="6E8CA70D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superficie dell’occupazione</w:t>
      </w:r>
    </w:p>
    <w:p w14:paraId="1115906C" w14:textId="6197BCE8" w:rsidR="00A90400" w:rsidRP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tipologia e la finalità dell’occupazione</w:t>
      </w:r>
    </w:p>
    <w:p w14:paraId="72389EC2" w14:textId="0A328DE6" w:rsidR="00A90400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A90400">
        <w:rPr>
          <w:rFonts w:cstheme="minorHAnsi"/>
          <w:i/>
          <w:iCs/>
        </w:rPr>
        <w:t>La zona occupata del territorio</w:t>
      </w:r>
    </w:p>
    <w:p w14:paraId="47ABD1BF" w14:textId="77777777" w:rsidR="0043670E" w:rsidRPr="00A90400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75149C34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analisi di alcune fattispecie con criteri di calcolo differenti</w:t>
      </w:r>
    </w:p>
    <w:p w14:paraId="3B075DEF" w14:textId="0F67F3AC" w:rsidR="00A90400" w:rsidRPr="008F45B7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I passi carrabili</w:t>
      </w:r>
    </w:p>
    <w:p w14:paraId="52E9E63E" w14:textId="005D0609" w:rsidR="00A90400" w:rsidRPr="008F45B7" w:rsidRDefault="00A90400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Griglie e intercapedini</w:t>
      </w:r>
    </w:p>
    <w:p w14:paraId="770D5157" w14:textId="0846AAC9" w:rsidR="00A90400" w:rsidRPr="008F45B7" w:rsidRDefault="008F45B7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Viadotti autostradali</w:t>
      </w:r>
    </w:p>
    <w:p w14:paraId="1841C903" w14:textId="24511D68" w:rsidR="008F45B7" w:rsidRDefault="008F45B7" w:rsidP="00A90400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Scavi per la manutenzione e la posa delle reti</w:t>
      </w:r>
    </w:p>
    <w:p w14:paraId="2D6AC69A" w14:textId="77777777" w:rsidR="0043670E" w:rsidRPr="008F45B7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32B975E5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Le esenzioni e le riduzioni: la potestà dei comuni e i limiti</w:t>
      </w:r>
    </w:p>
    <w:p w14:paraId="47B1E11A" w14:textId="359269D7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lettera A del comma 833</w:t>
      </w:r>
    </w:p>
    <w:p w14:paraId="4292EEEA" w14:textId="1CD1008F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lettera D del comma 833</w:t>
      </w:r>
    </w:p>
    <w:p w14:paraId="746B254D" w14:textId="54B79AA1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lettera F del comma 833</w:t>
      </w:r>
    </w:p>
    <w:p w14:paraId="1852C539" w14:textId="7E4F9C91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lettera R del comma 833</w:t>
      </w:r>
    </w:p>
    <w:p w14:paraId="4AD2D9BE" w14:textId="50E1EB31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Le riduzioni in ambito CUP</w:t>
      </w:r>
    </w:p>
    <w:p w14:paraId="7E7B9876" w14:textId="77777777" w:rsidR="0043670E" w:rsidRPr="008F45B7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0FECA78A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bookmarkStart w:id="0" w:name="_Hlk205288498"/>
      <w:r w:rsidRPr="00350E33">
        <w:rPr>
          <w:rFonts w:cstheme="minorHAnsi"/>
        </w:rPr>
        <w:t>Occupazioni per la fornitura servizi di rete e Antenne e ripetitori</w:t>
      </w:r>
    </w:p>
    <w:p w14:paraId="6FD47D40" w14:textId="07ACA68F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Settore idrico</w:t>
      </w:r>
    </w:p>
    <w:p w14:paraId="56930E37" w14:textId="1893CA81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Settore telefonia e fibra</w:t>
      </w:r>
    </w:p>
    <w:p w14:paraId="5457C5F1" w14:textId="6FD00F71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Settore dell’energia elettrica e Gas</w:t>
      </w:r>
    </w:p>
    <w:p w14:paraId="1496C3A2" w14:textId="09E23697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Aziende strumentali all’erogazione dei servizi di rete</w:t>
      </w:r>
    </w:p>
    <w:p w14:paraId="54F17EC3" w14:textId="725FC334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Le società che svolgono attività strumentali nel settore dell’energia elettrica</w:t>
      </w:r>
    </w:p>
    <w:p w14:paraId="58C9C1AF" w14:textId="6C47EF02" w:rsidR="00443A2F" w:rsidRDefault="00443A2F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443A2F">
        <w:rPr>
          <w:rFonts w:cstheme="minorHAnsi"/>
          <w:i/>
          <w:iCs/>
        </w:rPr>
        <w:t>Il Canone per i servizi di rete a favore delle Province</w:t>
      </w:r>
    </w:p>
    <w:p w14:paraId="42E1FC2F" w14:textId="4487CA75" w:rsidR="008F45B7" w:rsidRP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Antenne e ripetitori</w:t>
      </w:r>
    </w:p>
    <w:bookmarkEnd w:id="0"/>
    <w:p w14:paraId="04E40857" w14:textId="77777777" w:rsidR="00A90400" w:rsidRDefault="00A90400" w:rsidP="00A90400">
      <w:pPr>
        <w:rPr>
          <w:rFonts w:cstheme="minorHAnsi"/>
        </w:rPr>
      </w:pPr>
    </w:p>
    <w:p w14:paraId="6F076C41" w14:textId="77777777" w:rsidR="0043670E" w:rsidRDefault="0043670E" w:rsidP="00A90400">
      <w:pPr>
        <w:rPr>
          <w:rFonts w:cstheme="minorHAnsi"/>
        </w:rPr>
      </w:pPr>
    </w:p>
    <w:p w14:paraId="0C8B6A01" w14:textId="77777777" w:rsidR="0043670E" w:rsidRDefault="0043670E" w:rsidP="00A90400">
      <w:pPr>
        <w:rPr>
          <w:rFonts w:cstheme="minorHAnsi"/>
        </w:rPr>
      </w:pPr>
    </w:p>
    <w:p w14:paraId="7F8745D1" w14:textId="77777777" w:rsidR="0043670E" w:rsidRPr="00350E33" w:rsidRDefault="0043670E" w:rsidP="00A90400">
      <w:pPr>
        <w:rPr>
          <w:rFonts w:cstheme="minorHAnsi"/>
        </w:rPr>
      </w:pPr>
    </w:p>
    <w:p w14:paraId="3B20B5B7" w14:textId="77777777" w:rsidR="00A90400" w:rsidRDefault="00A90400" w:rsidP="0043670E">
      <w:pPr>
        <w:jc w:val="center"/>
        <w:rPr>
          <w:rFonts w:cstheme="minorHAnsi"/>
          <w:b/>
          <w:bCs/>
        </w:rPr>
      </w:pPr>
      <w:bookmarkStart w:id="1" w:name="_Hlk205473371"/>
      <w:r w:rsidRPr="00350E33">
        <w:rPr>
          <w:rFonts w:cstheme="minorHAnsi"/>
          <w:b/>
          <w:bCs/>
        </w:rPr>
        <w:lastRenderedPageBreak/>
        <w:t>PARTE III – gli aspetti comuni nell’attività di accertamento CUP</w:t>
      </w:r>
    </w:p>
    <w:p w14:paraId="7A4BE574" w14:textId="77777777" w:rsidR="0043670E" w:rsidRPr="00350E33" w:rsidRDefault="0043670E" w:rsidP="0043670E">
      <w:pPr>
        <w:jc w:val="center"/>
        <w:rPr>
          <w:rFonts w:cstheme="minorHAnsi"/>
          <w:b/>
          <w:bCs/>
        </w:rPr>
      </w:pPr>
    </w:p>
    <w:p w14:paraId="70E80B96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 xml:space="preserve">La rilevazione sul territorio - La figura del Pubblico Ufficiale </w:t>
      </w:r>
    </w:p>
    <w:p w14:paraId="2CC4D581" w14:textId="64E0C2FE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l’Agente di Polizia Locale</w:t>
      </w:r>
    </w:p>
    <w:p w14:paraId="6A96C77A" w14:textId="2A89D45F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L’accertatore delle entrate ex comma 179 art. 1 Legge 296/2006</w:t>
      </w:r>
    </w:p>
    <w:p w14:paraId="317D4EF6" w14:textId="4ECE09C5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L’attività di rilevazione sul territorio</w:t>
      </w:r>
    </w:p>
    <w:p w14:paraId="0A6C1C44" w14:textId="77777777" w:rsidR="0043670E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bookmarkEnd w:id="1"/>
    <w:p w14:paraId="0A693812" w14:textId="77777777" w:rsidR="008F45B7" w:rsidRDefault="008F45B7" w:rsidP="008F45B7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La vigilanza sugli impianti pubblicitari</w:t>
      </w:r>
    </w:p>
    <w:p w14:paraId="0C00C08F" w14:textId="77777777" w:rsidR="0043670E" w:rsidRPr="00350E33" w:rsidRDefault="0043670E" w:rsidP="0043670E">
      <w:pPr>
        <w:pStyle w:val="Paragrafoelenco"/>
        <w:rPr>
          <w:rFonts w:cstheme="minorHAnsi"/>
        </w:rPr>
      </w:pPr>
    </w:p>
    <w:p w14:paraId="11117F18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La procedura di rimozione ai sensi del comma 822 Legge 160/2019</w:t>
      </w:r>
    </w:p>
    <w:p w14:paraId="409C3F29" w14:textId="7C054664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procedura di rimozione impianti pubblicitari su impulso del Pubblico ufficiale</w:t>
      </w:r>
    </w:p>
    <w:p w14:paraId="019ACD29" w14:textId="77777777" w:rsidR="0043670E" w:rsidRPr="008F45B7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6D042BA1" w14:textId="77777777" w:rsidR="00A90400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350E33">
        <w:rPr>
          <w:rFonts w:cstheme="minorHAnsi"/>
        </w:rPr>
        <w:t>La procedura di chiusura attività commerciale ex legge 94/2009</w:t>
      </w:r>
    </w:p>
    <w:p w14:paraId="3D548AC3" w14:textId="77777777" w:rsidR="0043670E" w:rsidRDefault="0043670E" w:rsidP="0043670E">
      <w:pPr>
        <w:pStyle w:val="Paragrafoelenco"/>
        <w:rPr>
          <w:rFonts w:cstheme="minorHAnsi"/>
        </w:rPr>
      </w:pPr>
    </w:p>
    <w:p w14:paraId="4451B0D1" w14:textId="77777777" w:rsidR="0043670E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43670E">
        <w:rPr>
          <w:rFonts w:cstheme="minorHAnsi"/>
        </w:rPr>
        <w:t>La revoca del posteggio di mercato per ambulanti morosi</w:t>
      </w:r>
    </w:p>
    <w:p w14:paraId="0CF91327" w14:textId="77777777" w:rsidR="0043670E" w:rsidRPr="0043670E" w:rsidRDefault="0043670E" w:rsidP="0043670E">
      <w:pPr>
        <w:pStyle w:val="Paragrafoelenco"/>
        <w:rPr>
          <w:rFonts w:cstheme="minorHAnsi"/>
        </w:rPr>
      </w:pPr>
    </w:p>
    <w:p w14:paraId="375829DD" w14:textId="1935E9A9" w:rsidR="00A90400" w:rsidRPr="0043670E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43670E">
        <w:rPr>
          <w:rFonts w:cstheme="minorHAnsi"/>
        </w:rPr>
        <w:t>Indennità e sanzioni nel Canone Unico</w:t>
      </w:r>
    </w:p>
    <w:p w14:paraId="43D96410" w14:textId="265A99BF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L’indennità ex lettera g, comma 821, articolo 1 Legge 160/2019</w:t>
      </w:r>
    </w:p>
    <w:p w14:paraId="0C810B66" w14:textId="027F4714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Le sanzioni ex lettera h, comma 821, articolo 1 Legge 160/2019</w:t>
      </w:r>
    </w:p>
    <w:p w14:paraId="05DA199B" w14:textId="4074A844" w:rsidR="008F45B7" w:rsidRDefault="008F45B7" w:rsidP="008F45B7">
      <w:pPr>
        <w:pStyle w:val="Paragrafoelenco"/>
        <w:numPr>
          <w:ilvl w:val="0"/>
          <w:numId w:val="2"/>
        </w:numPr>
        <w:rPr>
          <w:rFonts w:cstheme="minorHAnsi"/>
          <w:i/>
          <w:iCs/>
        </w:rPr>
      </w:pPr>
      <w:r w:rsidRPr="008F45B7">
        <w:rPr>
          <w:rFonts w:cstheme="minorHAnsi"/>
          <w:i/>
          <w:iCs/>
        </w:rPr>
        <w:t>La sanzione per omesso versamento nella disciplina del Canone Unico</w:t>
      </w:r>
    </w:p>
    <w:p w14:paraId="4B3F5F7C" w14:textId="77777777" w:rsidR="0043670E" w:rsidRPr="008F45B7" w:rsidRDefault="0043670E" w:rsidP="0043670E">
      <w:pPr>
        <w:pStyle w:val="Paragrafoelenco"/>
        <w:ind w:left="1080"/>
        <w:rPr>
          <w:rFonts w:cstheme="minorHAnsi"/>
          <w:i/>
          <w:iCs/>
        </w:rPr>
      </w:pPr>
    </w:p>
    <w:p w14:paraId="7F87DACD" w14:textId="77777777" w:rsidR="0043670E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43670E">
        <w:rPr>
          <w:rFonts w:cstheme="minorHAnsi"/>
        </w:rPr>
        <w:t>La prescrizione del Canone Unico</w:t>
      </w:r>
    </w:p>
    <w:p w14:paraId="088ABC54" w14:textId="77777777" w:rsidR="0043670E" w:rsidRDefault="0043670E" w:rsidP="0043670E">
      <w:pPr>
        <w:pStyle w:val="Paragrafoelenco"/>
        <w:rPr>
          <w:rFonts w:cstheme="minorHAnsi"/>
        </w:rPr>
      </w:pPr>
    </w:p>
    <w:p w14:paraId="748282B7" w14:textId="77777777" w:rsidR="0043670E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43670E">
        <w:rPr>
          <w:rFonts w:cstheme="minorHAnsi"/>
        </w:rPr>
        <w:t>La giurisdizione sull’impugnazione dell’avviso di accertamento esecutivo CUP</w:t>
      </w:r>
    </w:p>
    <w:p w14:paraId="4DDD9E37" w14:textId="77777777" w:rsidR="0043670E" w:rsidRPr="0043670E" w:rsidRDefault="0043670E" w:rsidP="0043670E">
      <w:pPr>
        <w:pStyle w:val="Paragrafoelenco"/>
        <w:rPr>
          <w:rFonts w:cstheme="minorHAnsi"/>
        </w:rPr>
      </w:pPr>
    </w:p>
    <w:p w14:paraId="1AB6C9D5" w14:textId="047E189A" w:rsidR="00A90400" w:rsidRPr="0043670E" w:rsidRDefault="00A90400" w:rsidP="00A90400">
      <w:pPr>
        <w:pStyle w:val="Paragrafoelenco"/>
        <w:numPr>
          <w:ilvl w:val="0"/>
          <w:numId w:val="1"/>
        </w:numPr>
        <w:rPr>
          <w:rFonts w:cstheme="minorHAnsi"/>
        </w:rPr>
      </w:pPr>
      <w:r w:rsidRPr="0043670E">
        <w:rPr>
          <w:rFonts w:cstheme="minorHAnsi"/>
        </w:rPr>
        <w:t xml:space="preserve">Schema di Avviso di Accertamento ex comma 792 </w:t>
      </w:r>
      <w:bookmarkStart w:id="2" w:name="_Hlk200707520"/>
      <w:r w:rsidRPr="0043670E">
        <w:rPr>
          <w:rFonts w:cstheme="minorHAnsi"/>
        </w:rPr>
        <w:t>Legge 160/2019</w:t>
      </w:r>
      <w:bookmarkEnd w:id="2"/>
    </w:p>
    <w:p w14:paraId="14ECDC2A" w14:textId="77777777" w:rsidR="00060149" w:rsidRDefault="00060149"/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82CBE"/>
    <w:multiLevelType w:val="hybridMultilevel"/>
    <w:tmpl w:val="F502EEAA"/>
    <w:lvl w:ilvl="0" w:tplc="34F8659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BA0CE1"/>
    <w:multiLevelType w:val="hybridMultilevel"/>
    <w:tmpl w:val="FD7062B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761973">
    <w:abstractNumId w:val="1"/>
  </w:num>
  <w:num w:numId="2" w16cid:durableId="76745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00"/>
    <w:rsid w:val="00060149"/>
    <w:rsid w:val="002E68C8"/>
    <w:rsid w:val="0043670E"/>
    <w:rsid w:val="00443A2F"/>
    <w:rsid w:val="007B1496"/>
    <w:rsid w:val="008F45B7"/>
    <w:rsid w:val="00A90400"/>
    <w:rsid w:val="00C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795D"/>
  <w15:chartTrackingRefBased/>
  <w15:docId w15:val="{62E4EB0F-A130-43D7-BA64-07CC2ED7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0400"/>
  </w:style>
  <w:style w:type="paragraph" w:styleId="Titolo1">
    <w:name w:val="heading 1"/>
    <w:basedOn w:val="Normale"/>
    <w:next w:val="Normale"/>
    <w:link w:val="Titolo1Carattere"/>
    <w:uiPriority w:val="9"/>
    <w:qFormat/>
    <w:rsid w:val="00A9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040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040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04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04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04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04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04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04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040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040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0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2025-08-11T06:56:00Z</dcterms:created>
  <dcterms:modified xsi:type="dcterms:W3CDTF">2025-08-11T07:41:00Z</dcterms:modified>
</cp:coreProperties>
</file>