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AF12" w14:textId="6DAD04A8" w:rsidR="006672EA" w:rsidRDefault="009148BD">
      <w:r>
        <w:t xml:space="preserve">Titolo: </w:t>
      </w:r>
      <w:r w:rsidR="00167D59" w:rsidRPr="00167D59">
        <w:t>l’Antitrust avvia un’istruttoria sulla divisione TIM e FiberCop</w:t>
      </w:r>
    </w:p>
    <w:p w14:paraId="26BCB866" w14:textId="02A3E20A" w:rsidR="009148BD" w:rsidRDefault="009148BD">
      <w:r>
        <w:t>Di Alessandro Merciari</w:t>
      </w:r>
    </w:p>
    <w:p w14:paraId="3ACA8BE8" w14:textId="77777777" w:rsidR="009148BD" w:rsidRDefault="009148BD"/>
    <w:p w14:paraId="67F76524" w14:textId="19EBEA51" w:rsidR="00167D59" w:rsidRDefault="00167D59" w:rsidP="002D4B73">
      <w:pPr>
        <w:jc w:val="both"/>
      </w:pPr>
      <w:r>
        <w:t xml:space="preserve">Come più volte abbiamo evidenziato, il settore delle telecomunicazioni ha </w:t>
      </w:r>
      <w:r w:rsidR="000E4A3C">
        <w:t>vissuto</w:t>
      </w:r>
      <w:r>
        <w:t xml:space="preserve"> uno stravolgimento degli equilibri di mercato, </w:t>
      </w:r>
      <w:r w:rsidR="00B02F7D">
        <w:t>a causa di</w:t>
      </w:r>
      <w:r>
        <w:t xml:space="preserve"> operazioni </w:t>
      </w:r>
      <w:r w:rsidR="000E4A3C">
        <w:t xml:space="preserve">finanziarie </w:t>
      </w:r>
      <w:r>
        <w:t xml:space="preserve">che hanno portato </w:t>
      </w:r>
      <w:r w:rsidR="000E4A3C">
        <w:t>ad un cambio di proprietà del</w:t>
      </w:r>
      <w:r>
        <w:t xml:space="preserve">l’infrastruttura telefonica di rete fissa </w:t>
      </w:r>
      <w:r w:rsidR="00B02F7D">
        <w:t>n</w:t>
      </w:r>
      <w:r w:rsidR="000E4A3C">
        <w:t>el nostro Paese</w:t>
      </w:r>
      <w:r>
        <w:t>.</w:t>
      </w:r>
    </w:p>
    <w:p w14:paraId="0BF5589E" w14:textId="234CFCEE" w:rsidR="00167D59" w:rsidRDefault="00167D59" w:rsidP="002D4B73">
      <w:pPr>
        <w:jc w:val="both"/>
      </w:pPr>
      <w:r>
        <w:t>Gli effetti di queste operazioni stanno condizionando</w:t>
      </w:r>
      <w:r w:rsidR="000E4A3C">
        <w:t>, oltre che gli equilibri del mercato dei servizi telefonici voce e internet per i quali l’Antitrust ha avviato delle verifiche, anche</w:t>
      </w:r>
      <w:r>
        <w:t xml:space="preserve"> la corretta applicazione del Canone Unico previsto, sulla base del comma 831 della L. 160/2019 a carico delle società che erogano nell’ambito dei Comuni e delle </w:t>
      </w:r>
      <w:r w:rsidR="000E4A3C">
        <w:t>P</w:t>
      </w:r>
      <w:r>
        <w:t>rovince, i servizi</w:t>
      </w:r>
      <w:r w:rsidR="000E4A3C">
        <w:t xml:space="preserve"> </w:t>
      </w:r>
      <w:r>
        <w:t>telefonia</w:t>
      </w:r>
      <w:r w:rsidR="000E4A3C">
        <w:t xml:space="preserve"> utilizzando cavi e condutture posizionati nel sottosuolo pubblico</w:t>
      </w:r>
      <w:r>
        <w:t>.</w:t>
      </w:r>
    </w:p>
    <w:p w14:paraId="349BC155" w14:textId="0A88EF02" w:rsidR="00167D59" w:rsidRDefault="00167D59" w:rsidP="002D4B73">
      <w:pPr>
        <w:jc w:val="both"/>
      </w:pPr>
      <w:r>
        <w:t>Oggi, a chiedere chiarezza sulla situazione del settore, non sono solo le Pubbliche Amministrazioni</w:t>
      </w:r>
      <w:r w:rsidR="00B02F7D">
        <w:t>,</w:t>
      </w:r>
      <w:r>
        <w:t xml:space="preserve"> che hanno visto una progressiva elusione delle proprie entrate legate alle occupazioni di suolo e sottosuolo realizzate con le reti, </w:t>
      </w:r>
      <w:r w:rsidR="000E4A3C">
        <w:t xml:space="preserve">ma, come detto, </w:t>
      </w:r>
      <w:r>
        <w:t xml:space="preserve">è anche l’Antitrust che ha avviato un’istruttoria per fare chiarezza </w:t>
      </w:r>
      <w:r w:rsidR="000E4A3C">
        <w:t>su</w:t>
      </w:r>
      <w:r>
        <w:t xml:space="preserve"> ciò che sta </w:t>
      </w:r>
      <w:r w:rsidR="000E4A3C">
        <w:t>accadendo</w:t>
      </w:r>
      <w:r>
        <w:t xml:space="preserve"> in questo settore in continuo </w:t>
      </w:r>
      <w:r w:rsidR="000E4A3C">
        <w:t xml:space="preserve">e </w:t>
      </w:r>
      <w:r>
        <w:t>rapido movimento.</w:t>
      </w:r>
    </w:p>
    <w:p w14:paraId="63D4B898" w14:textId="3778A9C7" w:rsidR="00167D59" w:rsidRDefault="00167D59" w:rsidP="00167D59">
      <w:pPr>
        <w:jc w:val="both"/>
      </w:pPr>
      <w:r>
        <w:t xml:space="preserve">L’Autorità Garante della Concorrenza e del Mercato, nel suo Bollettino settimanale n. 49 anno XXXIV </w:t>
      </w:r>
      <w:r w:rsidRPr="00167D59">
        <w:t>ha avviato un'istruttoria sugli accordi tra TIM e FiberCop a seguito della cessione a quest’ultima dell’infrastruttura fisica (rete in rame, fibra e centrali telefoniche), ponendo particolare attenzione sul Master Service Agreement (MSA). L’indagine vuole verificare se questi accordi possano costituire una violazione dell'art. 101 del Trattato sul Funzionamento dell'Unione Europea (TFUE), che vieta pratiche commerciali tali da alterare la concorrenza all'interno del mercato comune europeo</w:t>
      </w:r>
      <w:r>
        <w:t>.</w:t>
      </w:r>
    </w:p>
    <w:p w14:paraId="3D257419" w14:textId="77777777" w:rsidR="000E4A3C" w:rsidRDefault="00D47E7D" w:rsidP="00167D59">
      <w:pPr>
        <w:jc w:val="both"/>
      </w:pPr>
      <w:r>
        <w:t>L’autorità ripercorre gli eventi che hanno portato TIM alla vendita della rete</w:t>
      </w:r>
      <w:r w:rsidR="000E4A3C">
        <w:t>, questa analisi risulta interessante anche ai nostri fini, ovvero alla corretta applicazione del CUP a favore degli enti locali del nostro Paese</w:t>
      </w:r>
      <w:r>
        <w:t xml:space="preserve">. </w:t>
      </w:r>
    </w:p>
    <w:p w14:paraId="38525059" w14:textId="0FC2BE19" w:rsidR="00D47E7D" w:rsidRDefault="000E4A3C" w:rsidP="00167D59">
      <w:pPr>
        <w:jc w:val="both"/>
      </w:pPr>
      <w:r>
        <w:t>L’Antitrust individua l</w:t>
      </w:r>
      <w:r w:rsidR="00D47E7D">
        <w:t xml:space="preserve">e due principali parti </w:t>
      </w:r>
      <w:r>
        <w:t>coinvolte</w:t>
      </w:r>
      <w:r w:rsidR="00D47E7D">
        <w:t xml:space="preserve"> nel</w:t>
      </w:r>
      <w:r>
        <w:t>le verifiche. Si tratti di</w:t>
      </w:r>
      <w:r w:rsidR="00D47E7D">
        <w:t xml:space="preserve">: </w:t>
      </w:r>
    </w:p>
    <w:p w14:paraId="5C93DFBB" w14:textId="64272D0A" w:rsidR="00167D59" w:rsidRDefault="00D47E7D" w:rsidP="00167D59">
      <w:pPr>
        <w:jc w:val="both"/>
        <w:rPr>
          <w:i/>
          <w:iCs/>
        </w:rPr>
      </w:pPr>
      <w:r w:rsidRPr="00D47E7D">
        <w:rPr>
          <w:i/>
          <w:iCs/>
        </w:rPr>
        <w:t>“</w:t>
      </w:r>
      <w:r>
        <w:rPr>
          <w:i/>
          <w:iCs/>
        </w:rPr>
        <w:t xml:space="preserve">1. </w:t>
      </w:r>
      <w:r w:rsidRPr="00D47E7D">
        <w:rPr>
          <w:i/>
          <w:iCs/>
        </w:rPr>
        <w:t>Telecom Italia S.p.A. (di seguito anche “TIM”) è una società storicamente attiva nell’installazione e nella fornitura di infrastrutture di telecomunicazioni, nonché nell’offerta dei relativi servizi. A partire dal 1° luglio 2024, al completamento del processo di scorporo, TIM non è più titolare della rete telefonica. Pertanto, mentre continua a fornire servizi al dettaglio ai consumatori finali, si rifornisce di servizi di accesso all’ingrosso da altri operatori e in particolare da FiberCop S.p.A., a sua volta devenuta proprietaria della rete fissa dopo la cessione del relativo ramo d’azienda da TIM…”</w:t>
      </w:r>
    </w:p>
    <w:p w14:paraId="371888FE" w14:textId="4934D79F" w:rsidR="00D47E7D" w:rsidRPr="00D01C3F" w:rsidRDefault="00D47E7D" w:rsidP="00167D59">
      <w:pPr>
        <w:jc w:val="both"/>
      </w:pPr>
      <w:r>
        <w:rPr>
          <w:i/>
          <w:iCs/>
        </w:rPr>
        <w:t xml:space="preserve">“2. </w:t>
      </w:r>
      <w:r w:rsidRPr="00D47E7D">
        <w:rPr>
          <w:i/>
          <w:iCs/>
        </w:rPr>
        <w:t xml:space="preserve">FiberCop S.p.A. (di seguito “FiberCop”) è una società costituita nel novembre 2020, quale veicolo per la realizzazione di reti secondarie in fibra ottica, anche attraverso il lancio di un’offerta di servizi di accesso di “coinvestimento”. Fino al 30 giugno 2024, la società è stata sotto il controllo congiunto di TIM, con una partecipazione pari al 58% del capitale e di </w:t>
      </w:r>
      <w:proofErr w:type="spellStart"/>
      <w:r w:rsidRPr="00D47E7D">
        <w:rPr>
          <w:i/>
          <w:iCs/>
        </w:rPr>
        <w:t>Teemo</w:t>
      </w:r>
      <w:proofErr w:type="spellEnd"/>
      <w:r w:rsidRPr="00D47E7D">
        <w:rPr>
          <w:i/>
          <w:iCs/>
        </w:rPr>
        <w:t xml:space="preserve"> </w:t>
      </w:r>
      <w:proofErr w:type="spellStart"/>
      <w:r w:rsidRPr="00D47E7D">
        <w:rPr>
          <w:i/>
          <w:iCs/>
        </w:rPr>
        <w:t>Bidco</w:t>
      </w:r>
      <w:proofErr w:type="spellEnd"/>
      <w:r w:rsidRPr="00D47E7D">
        <w:rPr>
          <w:i/>
          <w:iCs/>
        </w:rPr>
        <w:t>, società di scopo controllata dal fondo di investimenti KKR &amp; Co. Inc. (“KKR”), col 37,5% mentre Fastweb S.p.A. deteneva il 4,5%. Dal 1° luglio 2024, la società è passata sotto il controllo esclusivo indiretto di KKR, a valle dell’acquisizione della proprietà delle infrastrutture di rete fissa di TIM ed è ora attiva nel mercato dei servizi di accesso all’ingrosso alla rete fissa</w:t>
      </w:r>
      <w:r>
        <w:rPr>
          <w:i/>
          <w:iCs/>
        </w:rPr>
        <w:t>…”</w:t>
      </w:r>
    </w:p>
    <w:p w14:paraId="36CDE082" w14:textId="77777777" w:rsidR="00D47E7D" w:rsidRDefault="00D47E7D" w:rsidP="00D47E7D">
      <w:pPr>
        <w:jc w:val="both"/>
      </w:pPr>
      <w:r>
        <w:t xml:space="preserve">A decorrere dal 1° luglio 2024 TIM ha portato a termine un’importante operazione di scorporo societario, finalizzata a ridurre l’importante debito accumulato negli anni, realizzata attraverso il conferimento del ramo d’azienda relativo all’infrastruttura di rete in FiberCop S.p.A., società già attiva nella gestione della rete secondaria e precedentemente integrata nella stessa TIM. L’intera quota in FiberCop è stata successivamente ceduta a </w:t>
      </w:r>
      <w:proofErr w:type="spellStart"/>
      <w:r>
        <w:t>Optics</w:t>
      </w:r>
      <w:proofErr w:type="spellEnd"/>
      <w:r>
        <w:t xml:space="preserve"> </w:t>
      </w:r>
      <w:proofErr w:type="spellStart"/>
      <w:r>
        <w:t>BidCo</w:t>
      </w:r>
      <w:proofErr w:type="spellEnd"/>
      <w:r>
        <w:t xml:space="preserve"> S.p.A., veicolo societario interamente posseduto dal fondo statunitense </w:t>
      </w:r>
      <w:proofErr w:type="spellStart"/>
      <w:r>
        <w:t>Kohlberg</w:t>
      </w:r>
      <w:proofErr w:type="spellEnd"/>
      <w:r>
        <w:t xml:space="preserve"> Kravis Roberts &amp; Co. L.P. (KKR), nell’ambito di un’operazione dal valore complessivo potenziale di 22 miliardi di euro.</w:t>
      </w:r>
    </w:p>
    <w:p w14:paraId="132AB0B9" w14:textId="77777777" w:rsidR="00D47E7D" w:rsidRDefault="00D47E7D" w:rsidP="00D47E7D">
      <w:pPr>
        <w:jc w:val="both"/>
      </w:pPr>
    </w:p>
    <w:p w14:paraId="45462A71" w14:textId="5C156351" w:rsidR="00D47E7D" w:rsidRDefault="00D47E7D" w:rsidP="00D47E7D">
      <w:pPr>
        <w:jc w:val="both"/>
      </w:pPr>
      <w:r w:rsidRPr="00EC75A8">
        <w:t xml:space="preserve">Quale effetto dello scorporo, </w:t>
      </w:r>
      <w:r w:rsidRPr="00E10922">
        <w:rPr>
          <w:u w:val="single"/>
        </w:rPr>
        <w:t>TIM ha conservato le attività commerciali</w:t>
      </w:r>
      <w:r w:rsidRPr="00EC75A8">
        <w:t xml:space="preserve"> legate alla fornitura di servizi al dettaglio per l’utenza finale, diventando, sulla carta, un operatore non dissimile dagli altri concorrenti, </w:t>
      </w:r>
      <w:r w:rsidRPr="00E10922">
        <w:rPr>
          <w:u w:val="single"/>
        </w:rPr>
        <w:t>privi di un’infrastruttura di rete e che devono quindi acquistare i servizi di accesso all’ingrosso da operatori terzi</w:t>
      </w:r>
      <w:r w:rsidRPr="00EC75A8">
        <w:t>.</w:t>
      </w:r>
    </w:p>
    <w:p w14:paraId="2AA6348A" w14:textId="7C938FFC" w:rsidR="001973CF" w:rsidRDefault="00D47E7D" w:rsidP="00D47E7D">
      <w:pPr>
        <w:jc w:val="both"/>
      </w:pPr>
      <w:r>
        <w:t xml:space="preserve">Di conseguenza, ora </w:t>
      </w:r>
      <w:r w:rsidRPr="00E10922">
        <w:rPr>
          <w:u w:val="single"/>
        </w:rPr>
        <w:t>FiberCop opera secondo un modello “wholesale only”, vale a dire senza offrire direttamente servizi al cliente finale</w:t>
      </w:r>
      <w:r>
        <w:t xml:space="preserve"> ma vendendo l’accesso alla propria rete ad altri operatori, i quali poi offrono i servizi finali agli utenti, e soprattutto senza più legami con TIM</w:t>
      </w:r>
      <w:r w:rsidR="00E10922">
        <w:t>.</w:t>
      </w:r>
    </w:p>
    <w:p w14:paraId="6D4FBDE1" w14:textId="77777777" w:rsidR="00D47E7D" w:rsidRDefault="00D47E7D" w:rsidP="00D47E7D">
      <w:pPr>
        <w:jc w:val="both"/>
      </w:pPr>
      <w:r>
        <w:t>i rapporti tra TIM e FiberCop sono stati disciplinati da un nuovo accordo, denominato Master Service Agreement (MSA), che ha sostituito il precedente contratto nel quale FiberCop risultava ancora verticalmente integrata in TIM.</w:t>
      </w:r>
    </w:p>
    <w:p w14:paraId="497BE172" w14:textId="7FCB818C" w:rsidR="00D47E7D" w:rsidRDefault="00D47E7D" w:rsidP="00D47E7D">
      <w:pPr>
        <w:jc w:val="both"/>
      </w:pPr>
      <w:r>
        <w:t>L'istruttoria avviata dall'AGCM su</w:t>
      </w:r>
      <w:r w:rsidR="00E10922">
        <w:t xml:space="preserve"> questi accordi, </w:t>
      </w:r>
      <w:r>
        <w:t>si inserisce in un contesto di particolare sensibilità per la tutela della concorrenza nel mercato delle telecomunicazioni, caratterizzato da una struttura ancora dominata da pochi grandi attori. Le conclusioni di tale indagine potrebbero avere effetti di ampio respiro, andando a definire più chiaramente i limiti entro i quali simili accordi commerciali possono essere considerati compatibili con le norme europee in materia di antitrust.</w:t>
      </w:r>
    </w:p>
    <w:p w14:paraId="69AAF0E4" w14:textId="2388D318" w:rsidR="00D47E7D" w:rsidRDefault="00E10922" w:rsidP="00D47E7D">
      <w:pPr>
        <w:jc w:val="both"/>
      </w:pPr>
      <w:r>
        <w:t>Grazie a questa attività operata dall’Antitrust, si è fatto ancora più luce sulla situazione del mercato e</w:t>
      </w:r>
      <w:r w:rsidR="00364325">
        <w:t xml:space="preserve"> su quella dell’infrastruttura</w:t>
      </w:r>
      <w:r>
        <w:t xml:space="preserve"> </w:t>
      </w:r>
      <w:r w:rsidR="00364325">
        <w:t>di rete</w:t>
      </w:r>
      <w:r>
        <w:t xml:space="preserve">. Informazioni utili </w:t>
      </w:r>
      <w:r w:rsidR="00EB5EA6">
        <w:t xml:space="preserve">(e decisive) </w:t>
      </w:r>
      <w:r>
        <w:t xml:space="preserve">anche </w:t>
      </w:r>
      <w:r w:rsidR="00364325">
        <w:t>per</w:t>
      </w:r>
      <w:r>
        <w:t xml:space="preserve"> chiarire la posizione dei diversi attori coinvolti in ordine al loro ruolo nell’ambito dell’applicazione del CUP.</w:t>
      </w:r>
    </w:p>
    <w:p w14:paraId="70FE58FE" w14:textId="0B46FE9E" w:rsidR="00E10922" w:rsidRPr="00EB5EA6" w:rsidRDefault="00E10922" w:rsidP="00D47E7D">
      <w:pPr>
        <w:jc w:val="both"/>
        <w:rPr>
          <w:b/>
          <w:bCs/>
        </w:rPr>
      </w:pPr>
      <w:r w:rsidRPr="00EB5EA6">
        <w:rPr>
          <w:b/>
          <w:bCs/>
        </w:rPr>
        <w:t>La circostanza che vuole TIM soggetto che fornisce servizi all’utente finale senza condurre fisicamente un’infrastruttura di rete, la rende</w:t>
      </w:r>
      <w:r w:rsidR="00E17E61" w:rsidRPr="00EB5EA6">
        <w:rPr>
          <w:b/>
          <w:bCs/>
        </w:rPr>
        <w:t>, al pari degli altri operatori, soggetto passivo in via mediato, ovvero soggetto per il quale il Legislatore ha previsto il pagamento del Canone per l’occupazione di suolo pubblico in relazione all’utilizzo mediato dell’infrastruttura di rete.</w:t>
      </w:r>
    </w:p>
    <w:p w14:paraId="242DADF2" w14:textId="7CAD90F2" w:rsidR="00E17E61" w:rsidRPr="00EB5EA6" w:rsidRDefault="00E17E61" w:rsidP="00D47E7D">
      <w:pPr>
        <w:jc w:val="both"/>
        <w:rPr>
          <w:b/>
          <w:bCs/>
        </w:rPr>
      </w:pPr>
      <w:r w:rsidRPr="00EB5EA6">
        <w:rPr>
          <w:b/>
          <w:bCs/>
        </w:rPr>
        <w:t xml:space="preserve">Viceversa, se emergesse che i collegamenti virtuali che caratterizzano la condivisone delle condutture telefoniche, non </w:t>
      </w:r>
      <w:r w:rsidR="00364325" w:rsidRPr="00EB5EA6">
        <w:rPr>
          <w:b/>
          <w:bCs/>
        </w:rPr>
        <w:t>possano portare al</w:t>
      </w:r>
      <w:r w:rsidRPr="00EB5EA6">
        <w:rPr>
          <w:b/>
          <w:bCs/>
        </w:rPr>
        <w:t>l’applicazione del</w:t>
      </w:r>
      <w:r w:rsidR="00364325" w:rsidRPr="00EB5EA6">
        <w:rPr>
          <w:b/>
          <w:bCs/>
        </w:rPr>
        <w:t xml:space="preserve">la soggettività passiva in via mediata, si dovrebbe spostare l’attenzione sul FiberCop, soggetto </w:t>
      </w:r>
      <w:r w:rsidR="00563044" w:rsidRPr="00EB5EA6">
        <w:rPr>
          <w:b/>
          <w:bCs/>
        </w:rPr>
        <w:t xml:space="preserve">wholesale only, </w:t>
      </w:r>
      <w:r w:rsidR="00364325" w:rsidRPr="00EB5EA6">
        <w:rPr>
          <w:b/>
          <w:bCs/>
        </w:rPr>
        <w:t>titolare della rete che a questo punto dovrebbe versare il canone applicando il criterio di calcolo già in uso nei settori del Gas e dell’energia Elettrica.</w:t>
      </w:r>
    </w:p>
    <w:p w14:paraId="2F810310" w14:textId="3360B74C" w:rsidR="00364325" w:rsidRPr="00D01C3F" w:rsidRDefault="00364325" w:rsidP="00D47E7D">
      <w:pPr>
        <w:jc w:val="both"/>
      </w:pPr>
      <w:r>
        <w:t xml:space="preserve">Come più volte ricordato, il canone di cui al comma 831 della L. 160/2019 deve considerare le utenze attive dei diversi servizi di rete erogati, e gli unici due criteri di calcolo che prevedono la parametrizzazione del dovuto in base alle </w:t>
      </w:r>
      <w:r w:rsidR="00563044">
        <w:t xml:space="preserve">reali </w:t>
      </w:r>
      <w:r>
        <w:t>utenze servite</w:t>
      </w:r>
      <w:r w:rsidR="00563044">
        <w:t>,</w:t>
      </w:r>
      <w:r>
        <w:t xml:space="preserve"> sono quelli della soggettività passiva in via mediata </w:t>
      </w:r>
      <w:r w:rsidR="00563044">
        <w:t xml:space="preserve">(con il pagamento delle diverse compagnie telefoniche che offrono servizi all’utente finale) </w:t>
      </w:r>
      <w:r>
        <w:t xml:space="preserve">e </w:t>
      </w:r>
      <w:r w:rsidR="00563044">
        <w:t xml:space="preserve">quello </w:t>
      </w:r>
      <w:r>
        <w:t>della norma di interpretazione autentica</w:t>
      </w:r>
      <w:r w:rsidR="00563044">
        <w:t xml:space="preserve"> di cui alla lettera A </w:t>
      </w:r>
      <w:r w:rsidR="009421DD">
        <w:t>del</w:t>
      </w:r>
      <w:r w:rsidR="009421DD" w:rsidRPr="009421DD">
        <w:t>l’articolo 5, comma14-quinquies del Dl 21 ottobre 2021, n. 146</w:t>
      </w:r>
      <w:r w:rsidR="009421DD">
        <w:t>,</w:t>
      </w:r>
      <w:r w:rsidR="00563044">
        <w:t xml:space="preserve">  che vuole unico soggetto passivo il titolare della rete che verserà sulla base delle utenze attive servite dai diversi operatori presenti sul mercato. </w:t>
      </w:r>
      <w:r>
        <w:t xml:space="preserve"> </w:t>
      </w:r>
      <w:r w:rsidR="00EB5EA6">
        <w:t>Nessun altro sistema di calcolo del Canone può essere ammesso visto che andrebbe in contrasto con la norma e risulterebbe oltremodo penalizzante per gli enti beneficiari.</w:t>
      </w:r>
    </w:p>
    <w:sectPr w:rsidR="00364325" w:rsidRPr="00D01C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531C"/>
    <w:multiLevelType w:val="hybridMultilevel"/>
    <w:tmpl w:val="9B605F7E"/>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1614899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16"/>
    <w:rsid w:val="00000408"/>
    <w:rsid w:val="00036A92"/>
    <w:rsid w:val="000537B4"/>
    <w:rsid w:val="000E4A3C"/>
    <w:rsid w:val="0016054C"/>
    <w:rsid w:val="00167D59"/>
    <w:rsid w:val="001973CF"/>
    <w:rsid w:val="00203D35"/>
    <w:rsid w:val="002A1068"/>
    <w:rsid w:val="002A2B07"/>
    <w:rsid w:val="002C19B7"/>
    <w:rsid w:val="002D4B73"/>
    <w:rsid w:val="003207FF"/>
    <w:rsid w:val="00330C73"/>
    <w:rsid w:val="00364325"/>
    <w:rsid w:val="00366798"/>
    <w:rsid w:val="00391C28"/>
    <w:rsid w:val="0050258F"/>
    <w:rsid w:val="00524DC6"/>
    <w:rsid w:val="00530E21"/>
    <w:rsid w:val="00541882"/>
    <w:rsid w:val="0055431C"/>
    <w:rsid w:val="00563044"/>
    <w:rsid w:val="005B124B"/>
    <w:rsid w:val="00663F9B"/>
    <w:rsid w:val="006672EA"/>
    <w:rsid w:val="007A058E"/>
    <w:rsid w:val="00805703"/>
    <w:rsid w:val="008A0038"/>
    <w:rsid w:val="008A5DB5"/>
    <w:rsid w:val="009148BD"/>
    <w:rsid w:val="009421DD"/>
    <w:rsid w:val="009F4C16"/>
    <w:rsid w:val="00A16F83"/>
    <w:rsid w:val="00B02F7D"/>
    <w:rsid w:val="00B27261"/>
    <w:rsid w:val="00B542CD"/>
    <w:rsid w:val="00B82367"/>
    <w:rsid w:val="00BD15B2"/>
    <w:rsid w:val="00C73ADB"/>
    <w:rsid w:val="00C82A8A"/>
    <w:rsid w:val="00CB627B"/>
    <w:rsid w:val="00CC2263"/>
    <w:rsid w:val="00D01C3F"/>
    <w:rsid w:val="00D01DB8"/>
    <w:rsid w:val="00D47E7D"/>
    <w:rsid w:val="00D87142"/>
    <w:rsid w:val="00DA44A3"/>
    <w:rsid w:val="00DC11E1"/>
    <w:rsid w:val="00DE44E3"/>
    <w:rsid w:val="00E10922"/>
    <w:rsid w:val="00E17E61"/>
    <w:rsid w:val="00E2672F"/>
    <w:rsid w:val="00E30BD3"/>
    <w:rsid w:val="00EA1A0F"/>
    <w:rsid w:val="00EB5EA6"/>
    <w:rsid w:val="00EC75A8"/>
    <w:rsid w:val="00F10506"/>
    <w:rsid w:val="00F37245"/>
    <w:rsid w:val="00FA599D"/>
    <w:rsid w:val="00FE60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7FAF"/>
  <w15:chartTrackingRefBased/>
  <w15:docId w15:val="{0C876F93-7B6F-4A0B-A13B-DD35388F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4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F4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F4C1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F4C1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F4C1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F4C1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4C1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4C1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4C1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4C1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F4C1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F4C1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F4C1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F4C1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F4C1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4C1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4C1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4C16"/>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4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4C1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4C1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4C1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4C1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4C16"/>
    <w:rPr>
      <w:i/>
      <w:iCs/>
      <w:color w:val="404040" w:themeColor="text1" w:themeTint="BF"/>
    </w:rPr>
  </w:style>
  <w:style w:type="paragraph" w:styleId="Paragrafoelenco">
    <w:name w:val="List Paragraph"/>
    <w:basedOn w:val="Normale"/>
    <w:uiPriority w:val="34"/>
    <w:qFormat/>
    <w:rsid w:val="009F4C16"/>
    <w:pPr>
      <w:ind w:left="720"/>
      <w:contextualSpacing/>
    </w:pPr>
  </w:style>
  <w:style w:type="character" w:styleId="Enfasiintensa">
    <w:name w:val="Intense Emphasis"/>
    <w:basedOn w:val="Carpredefinitoparagrafo"/>
    <w:uiPriority w:val="21"/>
    <w:qFormat/>
    <w:rsid w:val="009F4C16"/>
    <w:rPr>
      <w:i/>
      <w:iCs/>
      <w:color w:val="2F5496" w:themeColor="accent1" w:themeShade="BF"/>
    </w:rPr>
  </w:style>
  <w:style w:type="paragraph" w:styleId="Citazioneintensa">
    <w:name w:val="Intense Quote"/>
    <w:basedOn w:val="Normale"/>
    <w:next w:val="Normale"/>
    <w:link w:val="CitazioneintensaCarattere"/>
    <w:uiPriority w:val="30"/>
    <w:qFormat/>
    <w:rsid w:val="009F4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F4C16"/>
    <w:rPr>
      <w:i/>
      <w:iCs/>
      <w:color w:val="2F5496" w:themeColor="accent1" w:themeShade="BF"/>
    </w:rPr>
  </w:style>
  <w:style w:type="character" w:styleId="Riferimentointenso">
    <w:name w:val="Intense Reference"/>
    <w:basedOn w:val="Carpredefinitoparagrafo"/>
    <w:uiPriority w:val="32"/>
    <w:qFormat/>
    <w:rsid w:val="009F4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6631">
      <w:bodyDiv w:val="1"/>
      <w:marLeft w:val="0"/>
      <w:marRight w:val="0"/>
      <w:marTop w:val="0"/>
      <w:marBottom w:val="0"/>
      <w:divBdr>
        <w:top w:val="none" w:sz="0" w:space="0" w:color="auto"/>
        <w:left w:val="none" w:sz="0" w:space="0" w:color="auto"/>
        <w:bottom w:val="none" w:sz="0" w:space="0" w:color="auto"/>
        <w:right w:val="none" w:sz="0" w:space="0" w:color="auto"/>
      </w:divBdr>
    </w:div>
    <w:div w:id="1152452583">
      <w:bodyDiv w:val="1"/>
      <w:marLeft w:val="0"/>
      <w:marRight w:val="0"/>
      <w:marTop w:val="0"/>
      <w:marBottom w:val="0"/>
      <w:divBdr>
        <w:top w:val="none" w:sz="0" w:space="0" w:color="auto"/>
        <w:left w:val="none" w:sz="0" w:space="0" w:color="auto"/>
        <w:bottom w:val="none" w:sz="0" w:space="0" w:color="auto"/>
        <w:right w:val="none" w:sz="0" w:space="0" w:color="auto"/>
      </w:divBdr>
    </w:div>
    <w:div w:id="1602687997">
      <w:bodyDiv w:val="1"/>
      <w:marLeft w:val="0"/>
      <w:marRight w:val="0"/>
      <w:marTop w:val="0"/>
      <w:marBottom w:val="0"/>
      <w:divBdr>
        <w:top w:val="none" w:sz="0" w:space="0" w:color="auto"/>
        <w:left w:val="none" w:sz="0" w:space="0" w:color="auto"/>
        <w:bottom w:val="none" w:sz="0" w:space="0" w:color="auto"/>
        <w:right w:val="none" w:sz="0" w:space="0" w:color="auto"/>
      </w:divBdr>
    </w:div>
    <w:div w:id="1956984913">
      <w:bodyDiv w:val="1"/>
      <w:marLeft w:val="0"/>
      <w:marRight w:val="0"/>
      <w:marTop w:val="0"/>
      <w:marBottom w:val="0"/>
      <w:divBdr>
        <w:top w:val="none" w:sz="0" w:space="0" w:color="auto"/>
        <w:left w:val="none" w:sz="0" w:space="0" w:color="auto"/>
        <w:bottom w:val="none" w:sz="0" w:space="0" w:color="auto"/>
        <w:right w:val="none" w:sz="0" w:space="0" w:color="auto"/>
      </w:divBdr>
    </w:div>
    <w:div w:id="2022315754">
      <w:bodyDiv w:val="1"/>
      <w:marLeft w:val="0"/>
      <w:marRight w:val="0"/>
      <w:marTop w:val="0"/>
      <w:marBottom w:val="0"/>
      <w:divBdr>
        <w:top w:val="none" w:sz="0" w:space="0" w:color="auto"/>
        <w:left w:val="none" w:sz="0" w:space="0" w:color="auto"/>
        <w:bottom w:val="none" w:sz="0" w:space="0" w:color="auto"/>
        <w:right w:val="none" w:sz="0" w:space="0" w:color="auto"/>
      </w:divBdr>
    </w:div>
    <w:div w:id="212076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2</Pages>
  <Words>1117</Words>
  <Characters>6369</Characters>
  <Application>Microsoft Office Word</Application>
  <DocSecurity>0</DocSecurity>
  <Lines>53</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9</cp:revision>
  <dcterms:created xsi:type="dcterms:W3CDTF">2025-05-28T14:09:00Z</dcterms:created>
  <dcterms:modified xsi:type="dcterms:W3CDTF">2025-06-09T13:39:00Z</dcterms:modified>
</cp:coreProperties>
</file>