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544F0" w14:textId="3E0DC1F4" w:rsidR="008A6ACC" w:rsidRDefault="008A6ACC" w:rsidP="002322DB">
      <w:pPr>
        <w:jc w:val="both"/>
      </w:pPr>
      <w:r>
        <w:t>Titolo:</w:t>
      </w:r>
      <w:r w:rsidR="00CE79AE">
        <w:t xml:space="preserve"> l’individuazione del </w:t>
      </w:r>
      <w:r>
        <w:t xml:space="preserve">soggetto passivo </w:t>
      </w:r>
      <w:r w:rsidR="00601E4F">
        <w:t>nel CUP</w:t>
      </w:r>
    </w:p>
    <w:p w14:paraId="5EE99D84" w14:textId="577D9829" w:rsidR="008A6ACC" w:rsidRDefault="008A6ACC" w:rsidP="002322DB">
      <w:pPr>
        <w:jc w:val="both"/>
      </w:pPr>
      <w:r>
        <w:t xml:space="preserve">Uno dei temi più </w:t>
      </w:r>
      <w:r w:rsidR="00CE79AE">
        <w:t>importanti</w:t>
      </w:r>
      <w:r>
        <w:t xml:space="preserve"> nella gestione di un’entrata, tributaria o patrimoniale che sia</w:t>
      </w:r>
      <w:r w:rsidR="00CE79AE">
        <w:t>,</w:t>
      </w:r>
      <w:r>
        <w:t xml:space="preserve"> è </w:t>
      </w:r>
      <w:r w:rsidR="00CE79AE">
        <w:t xml:space="preserve">la corretta </w:t>
      </w:r>
      <w:r>
        <w:t>individuazione del soggetto passivo.</w:t>
      </w:r>
    </w:p>
    <w:p w14:paraId="4EC3C11D" w14:textId="2A88C482" w:rsidR="008A6ACC" w:rsidRDefault="00CE79AE" w:rsidP="002322DB">
      <w:pPr>
        <w:jc w:val="both"/>
      </w:pPr>
      <w:r>
        <w:t>Non fa eccezione il</w:t>
      </w:r>
      <w:r w:rsidR="008A6ACC">
        <w:t xml:space="preserve"> nuovo Canone Unico introdotto </w:t>
      </w:r>
      <w:r>
        <w:t xml:space="preserve">dal </w:t>
      </w:r>
      <w:r>
        <w:t>L</w:t>
      </w:r>
      <w:r>
        <w:t xml:space="preserve">egislatore con il comma 816 articolo 1 della Legge 160/2019 </w:t>
      </w:r>
      <w:r>
        <w:t>a partire dal</w:t>
      </w:r>
      <w:r w:rsidR="008A6ACC">
        <w:t xml:space="preserve"> 2021</w:t>
      </w:r>
      <w:r>
        <w:t xml:space="preserve">, dove </w:t>
      </w:r>
      <w:r w:rsidR="00967B23">
        <w:t xml:space="preserve">chiaramente </w:t>
      </w:r>
      <w:r w:rsidR="009E51FD">
        <w:t xml:space="preserve">nella gestione dell’entrata </w:t>
      </w:r>
      <w:r>
        <w:t>si rende necessario individuare il soggetto responsabile del pagamento, sia quando si parla di occupazioni di suolo pubblico, sia quando il presupposto deriva dalla diffusione pubblicitaria.</w:t>
      </w:r>
    </w:p>
    <w:p w14:paraId="3C23F913" w14:textId="70F934A4" w:rsidR="00CE79AE" w:rsidRDefault="00CE79AE" w:rsidP="002322DB">
      <w:pPr>
        <w:jc w:val="both"/>
        <w:rPr>
          <w:i/>
          <w:iCs/>
        </w:rPr>
      </w:pPr>
      <w:r>
        <w:t xml:space="preserve">L’attuale disciplina prevede al comma 823 della Legge 160/2019 </w:t>
      </w:r>
      <w:r w:rsidRPr="00CE79AE">
        <w:t>che: “</w:t>
      </w:r>
      <w:r w:rsidRPr="00CE79AE">
        <w:rPr>
          <w:i/>
          <w:iCs/>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0421A2E5" w14:textId="60EBD604" w:rsidR="00CE79AE" w:rsidRDefault="00CE79AE" w:rsidP="002322DB">
      <w:pPr>
        <w:jc w:val="both"/>
      </w:pPr>
      <w:r>
        <w:t xml:space="preserve">In prima battuta, </w:t>
      </w:r>
      <w:r w:rsidR="009E51FD">
        <w:t xml:space="preserve">quindi </w:t>
      </w:r>
      <w:r>
        <w:t xml:space="preserve">la naturale individuazione del soggetto responsabile del pagamento viene ricondotta al titolare del titolo amministrativo. Come già visto in diversi approfondimenti, la nuova entrata </w:t>
      </w:r>
      <w:r w:rsidR="009E51FD">
        <w:t xml:space="preserve">si </w:t>
      </w:r>
      <w:r>
        <w:t xml:space="preserve">lega in modo indissolubile </w:t>
      </w:r>
      <w:r w:rsidR="009E51FD">
        <w:t>alla fase amministrativa</w:t>
      </w:r>
      <w:r>
        <w:t xml:space="preserve"> e diventa naturale la coincidenza di soggetti tra chi è titolare della concessione o dell’autorizzazione e chi dovrà versare il canone.</w:t>
      </w:r>
    </w:p>
    <w:p w14:paraId="61FE809A" w14:textId="721A11C7" w:rsidR="00CE79AE" w:rsidRPr="00CE79AE" w:rsidRDefault="00CE79AE" w:rsidP="006B12A2">
      <w:pPr>
        <w:jc w:val="both"/>
      </w:pPr>
      <w:r>
        <w:t xml:space="preserve">Il Legislatore correttamente </w:t>
      </w:r>
      <w:r w:rsidR="009E51FD">
        <w:t>disciplina</w:t>
      </w:r>
      <w:r>
        <w:t xml:space="preserve"> anche l’ipotesi di occupazione realizzata senza titolo, disponendo in questo caso che la soggettività passiva sia fatta ricadere su chi effettua </w:t>
      </w:r>
      <w:r w:rsidR="006B12A2">
        <w:t>materialmente</w:t>
      </w:r>
      <w:r>
        <w:t xml:space="preserve"> l’occupazione </w:t>
      </w:r>
      <w:r w:rsidR="006B12A2">
        <w:t xml:space="preserve">o la diffusione del messaggio pubblicitario, stabilendo </w:t>
      </w:r>
      <w:r w:rsidR="009E51FD">
        <w:t xml:space="preserve">anche </w:t>
      </w:r>
      <w:r w:rsidR="006B12A2">
        <w:t xml:space="preserve">che, per la componente pubblicitaria del canone, sia obbligato in solido il soggetto pubblicizzato. Di fatto il Legislatore ha voluto confermare quel vantaggio già riconosciuto ai Comuni in materia di Imposta Comunale sulla Pubblicità, </w:t>
      </w:r>
      <w:r w:rsidR="009E51FD">
        <w:t xml:space="preserve">quando veniva consentito </w:t>
      </w:r>
      <w:r w:rsidR="006B12A2">
        <w:t>di svolgere la propria attività di accertamento nei confronti del soggetto che beneficia</w:t>
      </w:r>
      <w:r w:rsidR="009E51FD">
        <w:t>va</w:t>
      </w:r>
      <w:r w:rsidR="006B12A2">
        <w:t xml:space="preserve"> del messaggio diffuso</w:t>
      </w:r>
      <w:r w:rsidR="009E51FD">
        <w:t xml:space="preserve"> per mezzo di un impianto esposto abusivamente</w:t>
      </w:r>
      <w:r w:rsidR="006B12A2">
        <w:t>.</w:t>
      </w:r>
    </w:p>
    <w:p w14:paraId="2FFFD970" w14:textId="3D73ED92" w:rsidR="008A6ACC" w:rsidRDefault="006B12A2" w:rsidP="008A6ACC">
      <w:pPr>
        <w:jc w:val="both"/>
        <w:rPr>
          <w:i/>
          <w:iCs/>
        </w:rPr>
      </w:pPr>
      <w:r>
        <w:t>In materia di ICP infatti, il Legislatore a</w:t>
      </w:r>
      <w:r w:rsidR="008A6ACC" w:rsidRPr="006B12A2">
        <w:t xml:space="preserve">ll’articolo 6 del </w:t>
      </w:r>
      <w:r w:rsidRPr="006B12A2">
        <w:t>D.lgs.</w:t>
      </w:r>
      <w:r w:rsidR="008A6ACC" w:rsidRPr="006B12A2">
        <w:t xml:space="preserve"> 507/93 stabiliva: “</w:t>
      </w:r>
      <w:r w:rsidR="008A6ACC" w:rsidRPr="006B12A2">
        <w:rPr>
          <w:i/>
          <w:iCs/>
        </w:rPr>
        <w:t xml:space="preserve">1. Soggetto passivo dell'imposta sulla </w:t>
      </w:r>
      <w:r w:rsidRPr="006B12A2">
        <w:rPr>
          <w:i/>
          <w:iCs/>
        </w:rPr>
        <w:t>pubblicità</w:t>
      </w:r>
      <w:r w:rsidR="008A6ACC" w:rsidRPr="006B12A2">
        <w:rPr>
          <w:i/>
          <w:iCs/>
        </w:rPr>
        <w:t xml:space="preserve">, tenuto al pagamento in via principale, </w:t>
      </w:r>
      <w:r w:rsidRPr="006B12A2">
        <w:rPr>
          <w:i/>
          <w:iCs/>
        </w:rPr>
        <w:t>è</w:t>
      </w:r>
      <w:r w:rsidR="008A6ACC" w:rsidRPr="006B12A2">
        <w:rPr>
          <w:i/>
          <w:iCs/>
        </w:rPr>
        <w:t xml:space="preserve"> colui che dispone a qualsiasi titolo del mezzo attraverso il quale il messaggio pubblicitario viene diffuso. 2. E' solidalmente obbligato al pagamento dell'imposta colui che produce o vende la merce o fornisce i servizi oggetto della </w:t>
      </w:r>
      <w:r w:rsidRPr="006B12A2">
        <w:rPr>
          <w:i/>
          <w:iCs/>
        </w:rPr>
        <w:t>pubblicità</w:t>
      </w:r>
      <w:r w:rsidR="008A6ACC" w:rsidRPr="006B12A2">
        <w:rPr>
          <w:i/>
          <w:iCs/>
        </w:rPr>
        <w:t xml:space="preserve">.” </w:t>
      </w:r>
    </w:p>
    <w:p w14:paraId="20D88621" w14:textId="4055E7C5" w:rsidR="006B12A2" w:rsidRPr="006B12A2" w:rsidRDefault="006B12A2" w:rsidP="008A6ACC">
      <w:pPr>
        <w:jc w:val="both"/>
      </w:pPr>
      <w:r>
        <w:t>E questa corresponsabilità a carico di chi beneficia del messaggio pubblicitario, è fondamentale per consentire agli addetti all’attività di rilevazione sul territorio e alle successive fasi di accertamento, di individuare un soggetto a cui rivolgere le proprie attenzioni. Molto spesso capita infatti di imbattersi in mezzi pubblicitari esposti abusivamente, senza la possibilità di ricondur</w:t>
      </w:r>
      <w:r w:rsidR="005768A9">
        <w:t>l</w:t>
      </w:r>
      <w:r>
        <w:t>i al soggetto che ha esposto l’impianto,</w:t>
      </w:r>
      <w:r w:rsidR="00176CF7">
        <w:t xml:space="preserve"> ovvero</w:t>
      </w:r>
      <w:r>
        <w:t xml:space="preserve"> colui che ha la disponibilità del manufatto e materialmente ha disposto la sua collocazione lungo l</w:t>
      </w:r>
      <w:r w:rsidR="00176CF7">
        <w:t>a</w:t>
      </w:r>
      <w:r>
        <w:t xml:space="preserve"> strad</w:t>
      </w:r>
      <w:r w:rsidR="00176CF7">
        <w:t>a</w:t>
      </w:r>
      <w:r>
        <w:t xml:space="preserve"> o in vista di ess</w:t>
      </w:r>
      <w:r w:rsidR="00176CF7">
        <w:t>a</w:t>
      </w:r>
      <w:r>
        <w:t>. Per tutti questi casi, grazie al comma 823 oggi</w:t>
      </w:r>
      <w:r w:rsidR="005B16A8">
        <w:t>,</w:t>
      </w:r>
      <w:r>
        <w:t xml:space="preserve"> e all’articolo 6 del D.Lgs 507/93 prima, è possibile emettere avvisi di accertamento direttamente </w:t>
      </w:r>
      <w:r w:rsidR="00176CF7">
        <w:t xml:space="preserve">in capo </w:t>
      </w:r>
      <w:r>
        <w:t xml:space="preserve">al soggetto pubblicizzato </w:t>
      </w:r>
      <w:r w:rsidR="005768A9">
        <w:t>con l’</w:t>
      </w:r>
      <w:r>
        <w:t>impianto abusivo. Allo stesso modo sarà possibile per la Polizia Municipale</w:t>
      </w:r>
      <w:r w:rsidR="00176CF7">
        <w:t xml:space="preserve"> elevare la sanzione </w:t>
      </w:r>
      <w:r w:rsidR="005B16A8">
        <w:t>prevista</w:t>
      </w:r>
      <w:r w:rsidR="00176CF7">
        <w:t xml:space="preserve"> </w:t>
      </w:r>
      <w:r w:rsidR="005B16A8">
        <w:t>a</w:t>
      </w:r>
      <w:r w:rsidR="00176CF7">
        <w:t>ll’articolo 23 del Codice della Strada</w:t>
      </w:r>
      <w:r w:rsidR="005B16A8">
        <w:t xml:space="preserve"> per un impianto pubblicitario esposto senza la preventiva autorizzazione</w:t>
      </w:r>
      <w:r w:rsidR="00176CF7">
        <w:t>.</w:t>
      </w:r>
      <w:r>
        <w:t xml:space="preserve"> </w:t>
      </w:r>
    </w:p>
    <w:p w14:paraId="37A1ED73" w14:textId="02F739F9" w:rsidR="008A6ACC" w:rsidRPr="008A6ACC" w:rsidRDefault="008A6ACC" w:rsidP="00176CF7">
      <w:pPr>
        <w:jc w:val="both"/>
      </w:pPr>
      <w:r w:rsidRPr="00176CF7">
        <w:t xml:space="preserve">Questo </w:t>
      </w:r>
      <w:r w:rsidR="005B16A8">
        <w:t xml:space="preserve">meccanismo di responsabilità solidale, </w:t>
      </w:r>
      <w:r w:rsidRPr="00176CF7">
        <w:t xml:space="preserve">rappresenta certamente un vantaggio che il Legislatore ha voluto riconoscere in tema di lotta all’abusivismo e all’attività di recupero del Canone eluso. Perché non sempre è possibile individuare chi ha </w:t>
      </w:r>
      <w:r w:rsidR="00176CF7" w:rsidRPr="00176CF7">
        <w:t>materialmente</w:t>
      </w:r>
      <w:r w:rsidRPr="00176CF7">
        <w:t xml:space="preserve"> esposto il mezzo pubblicitario, </w:t>
      </w:r>
      <w:r w:rsidR="00176CF7" w:rsidRPr="00176CF7">
        <w:t>mentre</w:t>
      </w:r>
      <w:r w:rsidRPr="00176CF7">
        <w:t xml:space="preserve"> </w:t>
      </w:r>
      <w:r w:rsidR="005B16A8">
        <w:t xml:space="preserve">viceversa </w:t>
      </w:r>
      <w:r w:rsidRPr="00176CF7">
        <w:t>è di facile e immediata verifica</w:t>
      </w:r>
      <w:r w:rsidR="00176CF7">
        <w:t>,</w:t>
      </w:r>
      <w:r w:rsidRPr="00176CF7">
        <w:t xml:space="preserve"> individuare il soggetto che viene </w:t>
      </w:r>
      <w:r w:rsidR="00176CF7" w:rsidRPr="00176CF7">
        <w:t>pubblicizzato</w:t>
      </w:r>
      <w:r w:rsidRPr="00176CF7">
        <w:t xml:space="preserve"> e che ricava diretto beneficio dalla </w:t>
      </w:r>
      <w:r w:rsidR="00176CF7">
        <w:t>diffusione del messaggio</w:t>
      </w:r>
      <w:r w:rsidRPr="00176CF7">
        <w:t>.</w:t>
      </w:r>
    </w:p>
    <w:p w14:paraId="50B2EC7C" w14:textId="6D636E46" w:rsidR="008A6ACC" w:rsidRPr="008A6ACC" w:rsidRDefault="00601E4F" w:rsidP="00176CF7">
      <w:pPr>
        <w:jc w:val="both"/>
      </w:pPr>
      <w:r>
        <w:t>Su</w:t>
      </w:r>
      <w:r w:rsidR="00176CF7">
        <w:t xml:space="preserve"> questa</w:t>
      </w:r>
      <w:r>
        <w:t xml:space="preserve"> tema</w:t>
      </w:r>
      <w:r w:rsidR="00176CF7">
        <w:t>tica specifica</w:t>
      </w:r>
      <w:r>
        <w:t xml:space="preserve"> si era già espressa </w:t>
      </w:r>
      <w:r w:rsidR="008A6ACC" w:rsidRPr="008A6ACC">
        <w:t xml:space="preserve">la Corte di Cassazione con la sentenza n. 4424 del 23 febbraio 2018, </w:t>
      </w:r>
      <w:r w:rsidR="00176CF7">
        <w:t>analizzando</w:t>
      </w:r>
      <w:r w:rsidR="005B16A8">
        <w:t xml:space="preserve"> </w:t>
      </w:r>
      <w:r w:rsidR="00176CF7">
        <w:t xml:space="preserve"> un caso legato proprio a</w:t>
      </w:r>
      <w:r w:rsidR="008A6ACC" w:rsidRPr="008A6ACC">
        <w:t>lla</w:t>
      </w:r>
      <w:r>
        <w:t xml:space="preserve"> corretta individuazione della</w:t>
      </w:r>
      <w:r w:rsidR="008A6ACC" w:rsidRPr="008A6ACC">
        <w:t xml:space="preserve"> soggettività passiva per un cartello abusivo esposto </w:t>
      </w:r>
      <w:r>
        <w:t xml:space="preserve">lungo </w:t>
      </w:r>
      <w:r w:rsidR="00176CF7">
        <w:t xml:space="preserve">una tratta </w:t>
      </w:r>
      <w:r w:rsidR="008A6ACC" w:rsidRPr="008A6ACC">
        <w:t>autostrada</w:t>
      </w:r>
      <w:r w:rsidR="00176CF7">
        <w:t>le</w:t>
      </w:r>
      <w:r w:rsidR="008A6ACC" w:rsidRPr="008A6ACC">
        <w:t>.</w:t>
      </w:r>
    </w:p>
    <w:p w14:paraId="7B273EE3" w14:textId="7BEB7986" w:rsidR="008A6ACC" w:rsidRPr="008A6ACC" w:rsidRDefault="008A6ACC" w:rsidP="00176CF7">
      <w:pPr>
        <w:jc w:val="both"/>
      </w:pPr>
      <w:r w:rsidRPr="008A6ACC">
        <w:lastRenderedPageBreak/>
        <w:t>Nella sentenza si stabili</w:t>
      </w:r>
      <w:r w:rsidR="00601E4F">
        <w:t>va</w:t>
      </w:r>
      <w:r w:rsidRPr="008A6ACC">
        <w:t xml:space="preserve"> </w:t>
      </w:r>
      <w:r w:rsidR="00176CF7">
        <w:t>che</w:t>
      </w:r>
      <w:r w:rsidRPr="008A6ACC">
        <w:t xml:space="preserve"> il beneficiario del messaggio promozionale contenuto </w:t>
      </w:r>
      <w:r w:rsidR="005B16A8">
        <w:t>nel</w:t>
      </w:r>
      <w:r w:rsidRPr="008A6ACC">
        <w:t xml:space="preserve"> cartellone pubblicitario </w:t>
      </w:r>
      <w:r w:rsidR="005B16A8">
        <w:t>era</w:t>
      </w:r>
      <w:r w:rsidRPr="008A6ACC">
        <w:t xml:space="preserve"> presuntivamente corresponsabile dell’installazione e soggetto passivo dell’imposta di pubblicità.</w:t>
      </w:r>
    </w:p>
    <w:p w14:paraId="2BA4959C" w14:textId="4CAEC23E" w:rsidR="008A6ACC" w:rsidRPr="008A6ACC" w:rsidRDefault="008A6ACC" w:rsidP="00176CF7">
      <w:pPr>
        <w:jc w:val="both"/>
      </w:pPr>
      <w:r w:rsidRPr="008A6ACC">
        <w:t>Secondo la Suprema Corte, accertata l’esistenza del cartello pubblicitario non autorizzato, dopo avere valutato il contenuto della promozione ed individuato il soggetto che ne trae beneficio, è legittimo agire attraverso presunzione per quanto riguarda le sanzioni amministrative per violazione al codice della strada. La stessa cosa deve ritenersi applicabile anche riguardo all’accertamento dell’evasione dell’imposta di pubblicità</w:t>
      </w:r>
      <w:r w:rsidR="005B16A8">
        <w:t>, e oggi del Canone Unico</w:t>
      </w:r>
      <w:r w:rsidRPr="008A6ACC">
        <w:t>.</w:t>
      </w:r>
    </w:p>
    <w:p w14:paraId="640C40FC" w14:textId="77777777" w:rsidR="008A6ACC" w:rsidRPr="008A6ACC" w:rsidRDefault="008A6ACC" w:rsidP="00176CF7">
      <w:pPr>
        <w:jc w:val="both"/>
      </w:pPr>
      <w:r w:rsidRPr="008A6ACC">
        <w:t xml:space="preserve">L’onere della prova incombente sulla Pubblica Amministrazione può ritenersi assolto dalla presenza dello strumento pubblicitario e dall’univoca riferibilità del messaggio pubblicitario ad un identificato soggetto beneficiario. </w:t>
      </w:r>
    </w:p>
    <w:p w14:paraId="4525F00B" w14:textId="1F914B05" w:rsidR="008A6ACC" w:rsidRPr="008F2C88" w:rsidRDefault="008A6ACC" w:rsidP="008F2C88">
      <w:pPr>
        <w:jc w:val="both"/>
      </w:pPr>
      <w:r w:rsidRPr="008A6ACC">
        <w:t>Nel caso esaminato dalla Suprema Corte, i dati e le circostanze di fatto erano sufficienti ad acclarare la responsabilità</w:t>
      </w:r>
      <w:r w:rsidR="00176CF7">
        <w:t xml:space="preserve">, </w:t>
      </w:r>
      <w:r w:rsidRPr="008A6ACC">
        <w:t>se non esclusiva solidale</w:t>
      </w:r>
      <w:r w:rsidR="00176CF7">
        <w:t>,</w:t>
      </w:r>
      <w:r w:rsidRPr="008A6ACC">
        <w:t xml:space="preserve"> della società beneficiaria, in ordine all’apposizione del cartello oggetto di causa.</w:t>
      </w:r>
      <w:r w:rsidR="006048CF">
        <w:t xml:space="preserve"> Nella sentenza si legge: </w:t>
      </w:r>
      <w:r w:rsidR="006048CF" w:rsidRPr="008F2C88">
        <w:rPr>
          <w:i/>
          <w:iCs/>
        </w:rPr>
        <w:t>“…</w:t>
      </w:r>
      <w:r w:rsidR="006048CF" w:rsidRPr="008F2C88">
        <w:rPr>
          <w:i/>
          <w:iCs/>
        </w:rPr>
        <w:t xml:space="preserve">onere della società </w:t>
      </w:r>
      <w:r w:rsidR="006048CF" w:rsidRPr="008F2C88">
        <w:rPr>
          <w:i/>
          <w:iCs/>
        </w:rPr>
        <w:t>xxx</w:t>
      </w:r>
      <w:r w:rsidR="006048CF" w:rsidRPr="008F2C88">
        <w:rPr>
          <w:i/>
          <w:iCs/>
        </w:rPr>
        <w:t xml:space="preserve"> di dimostrare che il fatto certo,</w:t>
      </w:r>
      <w:r w:rsidR="006048CF" w:rsidRPr="008F2C88">
        <w:rPr>
          <w:i/>
          <w:iCs/>
        </w:rPr>
        <w:t xml:space="preserve"> </w:t>
      </w:r>
      <w:r w:rsidR="006048CF" w:rsidRPr="008F2C88">
        <w:rPr>
          <w:i/>
          <w:iCs/>
        </w:rPr>
        <w:t>l'affissione, non autorizzata, di un cartello pubblicitario che la riguardava direttamente, si era verificato senza la sua volontà e/o, comunque, contro la sua volontà</w:t>
      </w:r>
      <w:r w:rsidR="008F2C88">
        <w:rPr>
          <w:i/>
          <w:iCs/>
        </w:rPr>
        <w:t xml:space="preserve">”. </w:t>
      </w:r>
      <w:r w:rsidR="008F2C88">
        <w:t>C</w:t>
      </w:r>
      <w:r w:rsidR="008F2C88" w:rsidRPr="008F2C88">
        <w:t>ome dire,</w:t>
      </w:r>
      <w:r w:rsidR="008F2C88">
        <w:t xml:space="preserve"> sei responsabile dell’esposizione abusiva in quanto soggetto pubblicizzato, è onere tuo dimostrare che questa collocazione fatta a tuo beneficio si è verificata contro la tu</w:t>
      </w:r>
      <w:r w:rsidR="005B16A8">
        <w:t>a</w:t>
      </w:r>
      <w:r w:rsidR="008F2C88">
        <w:t xml:space="preserve"> volontà. Ed è quello che solitamente avviene</w:t>
      </w:r>
      <w:r w:rsidR="005B16A8">
        <w:t xml:space="preserve"> t</w:t>
      </w:r>
      <w:r w:rsidR="008F2C88">
        <w:t>utte le volte che gli uffici notificano un avviso di accertamento al soggetto pubblicizzato</w:t>
      </w:r>
      <w:r w:rsidR="005B16A8">
        <w:t>.</w:t>
      </w:r>
      <w:r w:rsidR="008F2C88">
        <w:t xml:space="preserve"> </w:t>
      </w:r>
      <w:r w:rsidR="005B16A8">
        <w:t>Q</w:t>
      </w:r>
      <w:r w:rsidR="008F2C88">
        <w:t xml:space="preserve">uesti chiamerà in causa la ditta pubblicitaria con la quale ha instaurato un rapporto con la sottoscrizione di un contratto per lo sfruttamento dell’impianto, dando di fatto all’ufficio comunali </w:t>
      </w:r>
      <w:r w:rsidR="005B16A8">
        <w:t xml:space="preserve">tutti </w:t>
      </w:r>
      <w:r w:rsidR="008F2C88">
        <w:t xml:space="preserve">gli elementi per </w:t>
      </w:r>
      <w:r w:rsidR="005B16A8">
        <w:t>individuare</w:t>
      </w:r>
      <w:r w:rsidR="008F2C88">
        <w:t xml:space="preserve"> il soggetto passivo principale</w:t>
      </w:r>
      <w:r w:rsidR="005B16A8">
        <w:t>, senza tuttavia liberarsi dell’obbligazione.</w:t>
      </w:r>
      <w:r w:rsidR="008F2C88">
        <w:rPr>
          <w:i/>
          <w:iCs/>
        </w:rPr>
        <w:t xml:space="preserve"> </w:t>
      </w:r>
    </w:p>
    <w:p w14:paraId="26CA565F" w14:textId="77777777" w:rsidR="00060149" w:rsidRDefault="00060149"/>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FE"/>
    <w:rsid w:val="00060149"/>
    <w:rsid w:val="00176CF7"/>
    <w:rsid w:val="002322DB"/>
    <w:rsid w:val="005768A9"/>
    <w:rsid w:val="005B16A8"/>
    <w:rsid w:val="005F73FE"/>
    <w:rsid w:val="00601E4F"/>
    <w:rsid w:val="006048CF"/>
    <w:rsid w:val="006B12A2"/>
    <w:rsid w:val="008A6ACC"/>
    <w:rsid w:val="008F2C88"/>
    <w:rsid w:val="00967B23"/>
    <w:rsid w:val="009E51FD"/>
    <w:rsid w:val="00CE79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2FC5"/>
  <w15:chartTrackingRefBased/>
  <w15:docId w15:val="{9B7740D2-11A7-47A6-AA76-23ED5BD7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83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922</Words>
  <Characters>5261</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2023-07-24T13:17:00Z</dcterms:created>
  <dcterms:modified xsi:type="dcterms:W3CDTF">2023-07-25T10:20:00Z</dcterms:modified>
</cp:coreProperties>
</file>