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E8837" w14:textId="77777777" w:rsidR="00D95E79" w:rsidRDefault="00D95E79" w:rsidP="00AB0916">
      <w:pPr>
        <w:rPr>
          <w:b/>
        </w:rPr>
      </w:pPr>
    </w:p>
    <w:p w14:paraId="42EDC7D6" w14:textId="51D54C36" w:rsidR="0032692E" w:rsidRDefault="0032692E" w:rsidP="00AB0916">
      <w:pPr>
        <w:rPr>
          <w:b/>
        </w:rPr>
      </w:pPr>
      <w:r>
        <w:rPr>
          <w:b/>
        </w:rPr>
        <w:t>Titolo: l’istruttoria per l’autorizzazione dei Passi Carrabili</w:t>
      </w:r>
    </w:p>
    <w:p w14:paraId="7DB534E9" w14:textId="06FF5430" w:rsidR="0032692E" w:rsidRDefault="0032692E" w:rsidP="00AB0916">
      <w:pPr>
        <w:rPr>
          <w:b/>
        </w:rPr>
      </w:pPr>
      <w:r>
        <w:rPr>
          <w:b/>
        </w:rPr>
        <w:t>Di Alessandro Merciari</w:t>
      </w:r>
    </w:p>
    <w:p w14:paraId="4BA0BCA6" w14:textId="460F5D55" w:rsidR="0032692E" w:rsidRDefault="0032692E" w:rsidP="005C552C">
      <w:pPr>
        <w:jc w:val="both"/>
        <w:rPr>
          <w:bCs/>
        </w:rPr>
      </w:pPr>
      <w:r w:rsidRPr="0032692E">
        <w:rPr>
          <w:bCs/>
        </w:rPr>
        <w:t>Uno de</w:t>
      </w:r>
      <w:r w:rsidR="00611BF7">
        <w:rPr>
          <w:bCs/>
        </w:rPr>
        <w:t xml:space="preserve">gli argomenti </w:t>
      </w:r>
      <w:r w:rsidRPr="0032692E">
        <w:rPr>
          <w:bCs/>
        </w:rPr>
        <w:t>da sempre più controversi</w:t>
      </w:r>
      <w:r w:rsidR="00611BF7">
        <w:rPr>
          <w:bCs/>
        </w:rPr>
        <w:t xml:space="preserve"> in tema di </w:t>
      </w:r>
      <w:r w:rsidR="00611BF7" w:rsidRPr="0032692E">
        <w:rPr>
          <w:bCs/>
        </w:rPr>
        <w:t xml:space="preserve">prelievo dedicato alle occupazioni di suolo pubblico </w:t>
      </w:r>
      <w:r w:rsidRPr="0032692E">
        <w:rPr>
          <w:bCs/>
        </w:rPr>
        <w:t>è quello degli accessi carrabili e del</w:t>
      </w:r>
      <w:r>
        <w:rPr>
          <w:bCs/>
        </w:rPr>
        <w:t>la</w:t>
      </w:r>
      <w:r w:rsidRPr="0032692E">
        <w:rPr>
          <w:bCs/>
        </w:rPr>
        <w:t xml:space="preserve"> </w:t>
      </w:r>
      <w:r w:rsidR="006A6FD1">
        <w:rPr>
          <w:bCs/>
        </w:rPr>
        <w:t>loro attrazione n</w:t>
      </w:r>
      <w:r>
        <w:rPr>
          <w:bCs/>
        </w:rPr>
        <w:t xml:space="preserve">el </w:t>
      </w:r>
      <w:r w:rsidRPr="0032692E">
        <w:rPr>
          <w:bCs/>
        </w:rPr>
        <w:t>presupposto applicativo</w:t>
      </w:r>
      <w:r>
        <w:rPr>
          <w:bCs/>
        </w:rPr>
        <w:t xml:space="preserve">. Questione che ha visto </w:t>
      </w:r>
      <w:r w:rsidR="00C934E9">
        <w:rPr>
          <w:bCs/>
        </w:rPr>
        <w:t>negli scorsi decenni crescere</w:t>
      </w:r>
      <w:r>
        <w:rPr>
          <w:bCs/>
        </w:rPr>
        <w:t xml:space="preserve"> un acceso dibattito </w:t>
      </w:r>
      <w:r w:rsidR="006A6FD1">
        <w:rPr>
          <w:bCs/>
        </w:rPr>
        <w:t>nell’ambito dei</w:t>
      </w:r>
      <w:r>
        <w:rPr>
          <w:bCs/>
        </w:rPr>
        <w:t xml:space="preserve"> prelievi gestiti fino al 2020, </w:t>
      </w:r>
      <w:r w:rsidR="00C934E9">
        <w:rPr>
          <w:bCs/>
        </w:rPr>
        <w:t xml:space="preserve">con le disciplina </w:t>
      </w:r>
      <w:r>
        <w:rPr>
          <w:bCs/>
        </w:rPr>
        <w:t>Tosap e Cosap</w:t>
      </w:r>
      <w:r w:rsidR="00C934E9">
        <w:rPr>
          <w:bCs/>
        </w:rPr>
        <w:t xml:space="preserve">. Oggi </w:t>
      </w:r>
      <w:r w:rsidR="00C934E9">
        <w:rPr>
          <w:bCs/>
        </w:rPr>
        <w:t xml:space="preserve">con </w:t>
      </w:r>
      <w:r w:rsidR="00C934E9">
        <w:rPr>
          <w:bCs/>
        </w:rPr>
        <w:t>l’attuale Canone</w:t>
      </w:r>
      <w:r w:rsidR="00C934E9">
        <w:rPr>
          <w:bCs/>
        </w:rPr>
        <w:t xml:space="preserve"> Unico</w:t>
      </w:r>
      <w:r w:rsidR="00C934E9">
        <w:rPr>
          <w:bCs/>
        </w:rPr>
        <w:t>, introdotto dal 2021, probabilmente si è trovata</w:t>
      </w:r>
      <w:r>
        <w:rPr>
          <w:bCs/>
        </w:rPr>
        <w:t xml:space="preserve"> una soluzione. </w:t>
      </w:r>
    </w:p>
    <w:p w14:paraId="56B50411" w14:textId="15D834C3" w:rsidR="0032692E" w:rsidRDefault="0032692E" w:rsidP="005C552C">
      <w:pPr>
        <w:jc w:val="both"/>
        <w:rPr>
          <w:bCs/>
        </w:rPr>
      </w:pPr>
      <w:r>
        <w:rPr>
          <w:bCs/>
        </w:rPr>
        <w:t>Come noto il Legislatore nell’attuale disciplina affronta il tema dei passi carrabili limitandosi a stabilire</w:t>
      </w:r>
      <w:r w:rsidR="005C552C">
        <w:rPr>
          <w:bCs/>
        </w:rPr>
        <w:t>, nel testo del comma 824,</w:t>
      </w:r>
      <w:r>
        <w:rPr>
          <w:bCs/>
        </w:rPr>
        <w:t xml:space="preserve"> il criterio </w:t>
      </w:r>
      <w:r w:rsidR="00C934E9">
        <w:rPr>
          <w:bCs/>
        </w:rPr>
        <w:t>da utilizzare per la loro</w:t>
      </w:r>
      <w:r>
        <w:rPr>
          <w:bCs/>
        </w:rPr>
        <w:t xml:space="preserve"> misurazione</w:t>
      </w:r>
      <w:r w:rsidR="00C934E9">
        <w:rPr>
          <w:bCs/>
        </w:rPr>
        <w:t>, oltre ad</w:t>
      </w:r>
      <w:r>
        <w:rPr>
          <w:bCs/>
        </w:rPr>
        <w:t xml:space="preserve"> un</w:t>
      </w:r>
      <w:r w:rsidR="00C934E9">
        <w:rPr>
          <w:bCs/>
        </w:rPr>
        <w:t xml:space="preserve">a </w:t>
      </w:r>
      <w:r>
        <w:rPr>
          <w:bCs/>
        </w:rPr>
        <w:t xml:space="preserve">improbabile </w:t>
      </w:r>
      <w:r w:rsidR="006A6FD1">
        <w:rPr>
          <w:bCs/>
        </w:rPr>
        <w:t>procedura per l’</w:t>
      </w:r>
      <w:r>
        <w:rPr>
          <w:bCs/>
        </w:rPr>
        <w:t>affrancazione dal canone</w:t>
      </w:r>
      <w:r w:rsidR="00C934E9">
        <w:rPr>
          <w:bCs/>
        </w:rPr>
        <w:t>, praticamente inutile</w:t>
      </w:r>
      <w:r>
        <w:rPr>
          <w:bCs/>
        </w:rPr>
        <w:t xml:space="preserve">. </w:t>
      </w:r>
      <w:r w:rsidR="00C934E9">
        <w:rPr>
          <w:bCs/>
        </w:rPr>
        <w:t>Nessuna norma invece viene scritta a chiarimento del criterio di applicazione del canone, sulle caratteristiche che gli accessi devono avere per rientrare nel presupposto applicativo</w:t>
      </w:r>
      <w:r>
        <w:rPr>
          <w:bCs/>
        </w:rPr>
        <w:t>.</w:t>
      </w:r>
      <w:r w:rsidR="00C934E9">
        <w:rPr>
          <w:bCs/>
        </w:rPr>
        <w:t xml:space="preserve"> Anche con questa lacuna, </w:t>
      </w:r>
      <w:r>
        <w:rPr>
          <w:bCs/>
        </w:rPr>
        <w:t>l’impostazione generale dell’entrata e le specifiche discipline approvate dagli enti territoriali competent</w:t>
      </w:r>
      <w:r w:rsidR="005C552C">
        <w:rPr>
          <w:bCs/>
        </w:rPr>
        <w:t>i</w:t>
      </w:r>
      <w:r>
        <w:rPr>
          <w:bCs/>
        </w:rPr>
        <w:t xml:space="preserve">, </w:t>
      </w:r>
      <w:r w:rsidR="006A6FD1">
        <w:rPr>
          <w:bCs/>
        </w:rPr>
        <w:t>portano</w:t>
      </w:r>
      <w:r>
        <w:rPr>
          <w:bCs/>
        </w:rPr>
        <w:t xml:space="preserve"> a </w:t>
      </w:r>
      <w:r w:rsidR="005B3A5D">
        <w:rPr>
          <w:bCs/>
        </w:rPr>
        <w:t>considerare la</w:t>
      </w:r>
      <w:r>
        <w:rPr>
          <w:bCs/>
        </w:rPr>
        <w:t xml:space="preserve"> generalizzata applicazione </w:t>
      </w:r>
      <w:r w:rsidR="00C934E9">
        <w:rPr>
          <w:bCs/>
        </w:rPr>
        <w:t xml:space="preserve">al canone </w:t>
      </w:r>
      <w:r w:rsidR="006A6FD1">
        <w:rPr>
          <w:bCs/>
        </w:rPr>
        <w:t>di</w:t>
      </w:r>
      <w:r>
        <w:rPr>
          <w:bCs/>
        </w:rPr>
        <w:t xml:space="preserve"> tutti gli accessi </w:t>
      </w:r>
      <w:r w:rsidR="00C934E9">
        <w:rPr>
          <w:bCs/>
        </w:rPr>
        <w:t>riconducibili alla</w:t>
      </w:r>
      <w:r>
        <w:rPr>
          <w:bCs/>
        </w:rPr>
        <w:t xml:space="preserve"> definizion</w:t>
      </w:r>
      <w:r w:rsidR="005C552C">
        <w:rPr>
          <w:bCs/>
        </w:rPr>
        <w:t>e</w:t>
      </w:r>
      <w:r>
        <w:rPr>
          <w:bCs/>
        </w:rPr>
        <w:t xml:space="preserve"> contenut</w:t>
      </w:r>
      <w:r w:rsidR="005C552C">
        <w:rPr>
          <w:bCs/>
        </w:rPr>
        <w:t>a</w:t>
      </w:r>
      <w:r>
        <w:rPr>
          <w:bCs/>
        </w:rPr>
        <w:t xml:space="preserve"> nel Codice della Strada</w:t>
      </w:r>
      <w:r w:rsidR="005C552C">
        <w:rPr>
          <w:bCs/>
        </w:rPr>
        <w:t>.</w:t>
      </w:r>
    </w:p>
    <w:p w14:paraId="35AA6305" w14:textId="4794180E" w:rsidR="005C552C" w:rsidRDefault="0032692E" w:rsidP="005C552C">
      <w:pPr>
        <w:jc w:val="both"/>
      </w:pPr>
      <w:r>
        <w:rPr>
          <w:bCs/>
        </w:rPr>
        <w:t xml:space="preserve">Abbiamo in passato già affrontato i numerosi incroci tra le due discipline, quella del CUP e quella del CDS, confronto che non può mancare in tema di passi carrabili, affrontati storicamente in modo diverso a seconda se interessava </w:t>
      </w:r>
      <w:r w:rsidR="005B3A5D">
        <w:rPr>
          <w:bCs/>
        </w:rPr>
        <w:t xml:space="preserve">il loro </w:t>
      </w:r>
      <w:r>
        <w:rPr>
          <w:bCs/>
        </w:rPr>
        <w:t>aspetto finanziario o quello amministrativo.</w:t>
      </w:r>
      <w:r w:rsidR="005C552C">
        <w:rPr>
          <w:bCs/>
        </w:rPr>
        <w:t xml:space="preserve"> </w:t>
      </w:r>
      <w:r>
        <w:rPr>
          <w:bCs/>
        </w:rPr>
        <w:t xml:space="preserve">Oggi, </w:t>
      </w:r>
      <w:r w:rsidR="005B3A5D">
        <w:rPr>
          <w:bCs/>
        </w:rPr>
        <w:t>le</w:t>
      </w:r>
      <w:r>
        <w:rPr>
          <w:bCs/>
        </w:rPr>
        <w:t xml:space="preserve"> due </w:t>
      </w:r>
      <w:r w:rsidR="005B3A5D">
        <w:rPr>
          <w:bCs/>
        </w:rPr>
        <w:t xml:space="preserve">fasi </w:t>
      </w:r>
      <w:r>
        <w:rPr>
          <w:bCs/>
        </w:rPr>
        <w:t>si fond</w:t>
      </w:r>
      <w:r w:rsidR="005C552C">
        <w:rPr>
          <w:bCs/>
        </w:rPr>
        <w:t>o</w:t>
      </w:r>
      <w:r>
        <w:rPr>
          <w:bCs/>
        </w:rPr>
        <w:t xml:space="preserve">no comportando un unico iter procedurale che, passando dalla domanda di autorizzazione, attraverso </w:t>
      </w:r>
      <w:r w:rsidR="005B3A5D">
        <w:rPr>
          <w:bCs/>
        </w:rPr>
        <w:t xml:space="preserve">l’attività di </w:t>
      </w:r>
      <w:r>
        <w:rPr>
          <w:bCs/>
        </w:rPr>
        <w:t>istruttoria, sfocia nel rilascio del provvedimento</w:t>
      </w:r>
      <w:r w:rsidR="005C552C">
        <w:rPr>
          <w:bCs/>
        </w:rPr>
        <w:t xml:space="preserve"> ai sensi dell’articolo 22 del Codice della Strada, con contestuale pagamento del canone. Questa di fatto </w:t>
      </w:r>
      <w:r w:rsidR="005C552C">
        <w:t>la filosofia che sta alla base del CUP, che vede</w:t>
      </w:r>
      <w:r w:rsidR="00506B00">
        <w:t xml:space="preserve"> </w:t>
      </w:r>
      <w:r w:rsidR="005C552C">
        <w:t>strettissimo e indissolubile il legame tra la fase amministrativa di rilascio delle concessioni/autorizzazioni e quella del prelievo</w:t>
      </w:r>
      <w:r w:rsidR="00506B00">
        <w:t xml:space="preserve"> dell’entrata patrimoniale correlata.</w:t>
      </w:r>
      <w:r w:rsidR="009437A7">
        <w:t xml:space="preserve"> Le autorizzazioni dei passi carrabili non fanno eccezione alla regola generale.</w:t>
      </w:r>
    </w:p>
    <w:p w14:paraId="0190F638" w14:textId="221FE5F3" w:rsidR="005C552C" w:rsidRDefault="005C552C" w:rsidP="005C552C">
      <w:pPr>
        <w:jc w:val="both"/>
      </w:pPr>
      <w:r>
        <w:t>A</w:t>
      </w:r>
      <w:r w:rsidRPr="009B090B">
        <w:t xml:space="preserve"> mente dell’articolo 22 del Codice della Strada tutti gli accessi carrabili devono essere autorizzati dall’ente proprietario della str</w:t>
      </w:r>
      <w:r>
        <w:t xml:space="preserve">ada. Questo significa che per poter accedere con un veicolo alla strada pubblica da una proprietà privata è necessario avere l’autorizzazione dell’ente responsabile </w:t>
      </w:r>
      <w:r w:rsidR="009437A7">
        <w:t>di</w:t>
      </w:r>
      <w:r>
        <w:t xml:space="preserve"> quel</w:t>
      </w:r>
      <w:r w:rsidR="009437A7">
        <w:t xml:space="preserve"> determinato</w:t>
      </w:r>
      <w:r>
        <w:t xml:space="preserve"> tratto </w:t>
      </w:r>
      <w:r w:rsidR="009437A7">
        <w:t>viario</w:t>
      </w:r>
      <w:r>
        <w:t xml:space="preserve">. Esistono condizioni di sicurezza e distanze, contenute nell’articolo 46 del Regolamento di attuazione del CdS, che devono essere valutate e rispettate per poter concedere la possibilità di transitare con un veicolo dalla strada pubblica all’area privata e viceversa. </w:t>
      </w:r>
      <w:r w:rsidR="009437A7">
        <w:t xml:space="preserve">A questo proposito si precisa che sulla </w:t>
      </w:r>
      <w:r>
        <w:t>competenza a</w:t>
      </w:r>
      <w:r w:rsidR="009437A7">
        <w:t>l rilascio del</w:t>
      </w:r>
      <w:r>
        <w:t>l’autorizzazione, il Codice della Strada è chiaro: per tutti gli accessi posti all’interno del centro abitato, è sempre del Comune, sia su strade comunali, che su strade provinciali, regionali o statali. In questi casi sarà necessario</w:t>
      </w:r>
      <w:r w:rsidR="009437A7">
        <w:t xml:space="preserve"> da parte dell’amministrazione comunale, </w:t>
      </w:r>
      <w:r>
        <w:t xml:space="preserve"> richiedere il nulla osta </w:t>
      </w:r>
      <w:r w:rsidR="009437A7">
        <w:t xml:space="preserve">per il rilascio, </w:t>
      </w:r>
      <w:r>
        <w:t xml:space="preserve">all’ente proprietario; per gli accessi invece posti fuori dal centro abitato, la competenza è demandata </w:t>
      </w:r>
      <w:r w:rsidR="009437A7">
        <w:t xml:space="preserve">direttamente </w:t>
      </w:r>
      <w:r>
        <w:t xml:space="preserve">ad ogni singolo ente proprietario della strada. </w:t>
      </w:r>
    </w:p>
    <w:p w14:paraId="31427B97" w14:textId="4B9BD955" w:rsidR="005C552C" w:rsidRDefault="005C552C" w:rsidP="005C552C">
      <w:pPr>
        <w:jc w:val="both"/>
      </w:pPr>
      <w:r>
        <w:t xml:space="preserve">Una volta ottenuta l’autorizzazione, gli accessi </w:t>
      </w:r>
      <w:r w:rsidRPr="004E3585">
        <w:t>carrabili d</w:t>
      </w:r>
      <w:r>
        <w:t xml:space="preserve">ovranno, in base al comma 3 dell’articolo 22, </w:t>
      </w:r>
      <w:r w:rsidRPr="004E3585">
        <w:t>essere individuati con l’apposito segnale</w:t>
      </w:r>
      <w:r>
        <w:t>, le cui caratteristiche sono riportate nella Figura II.78 a corredo dell’articolo 120 del Regolamenti di attuazione del CdS</w:t>
      </w:r>
      <w:r w:rsidR="009437A7">
        <w:t xml:space="preserve">, </w:t>
      </w:r>
      <w:r>
        <w:t xml:space="preserve">che stabilisce come il cartello di passo carrabile </w:t>
      </w:r>
      <w:r w:rsidR="00FE2E2C">
        <w:t>debba indicare</w:t>
      </w:r>
      <w:r w:rsidRPr="00617A96">
        <w:rPr>
          <w:i/>
          <w:iCs/>
        </w:rPr>
        <w:t xml:space="preserve"> la zona per l'accesso dei veicoli alle proprietà laterali, in corrispondenza della quale vige in permanenza il divieto di sosta, ai sensi dell'articolo 158 del Codice</w:t>
      </w:r>
      <w:r>
        <w:t>.</w:t>
      </w:r>
    </w:p>
    <w:p w14:paraId="5771333F" w14:textId="292A33E5" w:rsidR="00A91AFC" w:rsidRDefault="00FE2E2C" w:rsidP="00A91AFC">
      <w:pPr>
        <w:jc w:val="both"/>
      </w:pPr>
      <w:r>
        <w:t xml:space="preserve">Risulta </w:t>
      </w:r>
      <w:r w:rsidR="009437A7">
        <w:t>oggi</w:t>
      </w:r>
      <w:r w:rsidR="009437A7">
        <w:t xml:space="preserve"> </w:t>
      </w:r>
      <w:r>
        <w:t xml:space="preserve">evidente, </w:t>
      </w:r>
      <w:r w:rsidR="009437A7">
        <w:t>con</w:t>
      </w:r>
      <w:r>
        <w:t xml:space="preserve"> questo contesto normativo,  </w:t>
      </w:r>
      <w:r w:rsidR="009437A7">
        <w:t xml:space="preserve">come </w:t>
      </w:r>
      <w:r>
        <w:t xml:space="preserve">non abbia più </w:t>
      </w:r>
      <w:r w:rsidRPr="009B090B">
        <w:t xml:space="preserve">senso </w:t>
      </w:r>
      <w:r>
        <w:t xml:space="preserve">legare la soggettività passiva </w:t>
      </w:r>
      <w:r w:rsidR="009437A7">
        <w:t xml:space="preserve">di un passo carrabile </w:t>
      </w:r>
      <w:r>
        <w:t>al canone</w:t>
      </w:r>
      <w:r w:rsidR="009437A7">
        <w:t>,</w:t>
      </w:r>
      <w:r>
        <w:t xml:space="preserve"> solo con le eventuali modifiche del piano stradale intese a facilitare l’accesso alla proprietà privata, </w:t>
      </w:r>
      <w:r w:rsidR="009437A7">
        <w:t xml:space="preserve">così </w:t>
      </w:r>
      <w:r>
        <w:t>come voleva la precedente disciplina TOSAP allorquando all’articolo 44 comma 4</w:t>
      </w:r>
      <w:r w:rsidR="00A91AFC">
        <w:t xml:space="preserve"> del D.Lgs 507/93 </w:t>
      </w:r>
      <w:r>
        <w:t xml:space="preserve"> definiva i passi carrabili </w:t>
      </w:r>
      <w:r w:rsidR="00A91AFC">
        <w:t xml:space="preserve">come </w:t>
      </w:r>
      <w:r w:rsidR="00A91AFC" w:rsidRPr="00A91AFC">
        <w:rPr>
          <w:i/>
          <w:iCs/>
        </w:rPr>
        <w:t>“…manufatti costituiti generalmente da listoni di pietra od altro materiale o da appositi intervalli lasciati nei marciapiedi o, comunque, da una modifica del piano stradale intesa a facilitare l'accesso dei veicoli alla proprietà privata”</w:t>
      </w:r>
      <w:r w:rsidR="00A91AFC">
        <w:rPr>
          <w:i/>
          <w:iCs/>
        </w:rPr>
        <w:t>.</w:t>
      </w:r>
      <w:r w:rsidR="00A91AFC">
        <w:t xml:space="preserve"> </w:t>
      </w:r>
      <w:r w:rsidR="00630BC2">
        <w:t xml:space="preserve"> </w:t>
      </w:r>
      <w:r w:rsidR="00A91AFC">
        <w:t xml:space="preserve">Definizione </w:t>
      </w:r>
      <w:r w:rsidR="00506B00">
        <w:t xml:space="preserve">che </w:t>
      </w:r>
      <w:r w:rsidR="00630BC2">
        <w:t xml:space="preserve">chiaramente </w:t>
      </w:r>
      <w:r w:rsidR="00506B00">
        <w:t xml:space="preserve">era </w:t>
      </w:r>
      <w:r w:rsidR="00A91AFC">
        <w:t>legata al concetto di occupazione di suolo pubblico che realizza</w:t>
      </w:r>
      <w:r w:rsidR="00630BC2">
        <w:t>va</w:t>
      </w:r>
      <w:r w:rsidR="00A91AFC">
        <w:t xml:space="preserve"> l’allora presupposto del prelievo tributario previsto per le occupazioni di spazi ed aree pubbliche.</w:t>
      </w:r>
    </w:p>
    <w:p w14:paraId="6C9E0592" w14:textId="61510FB1" w:rsidR="00630BC2" w:rsidRDefault="00A91AFC" w:rsidP="00630BC2">
      <w:pPr>
        <w:jc w:val="both"/>
      </w:pPr>
      <w:r>
        <w:lastRenderedPageBreak/>
        <w:t xml:space="preserve">Oggi, l’approccio del Canone Unico, si slega dall’aspetto prettamente fiscale, andando a creare una correlazione diretta tra l’atto </w:t>
      </w:r>
      <w:r w:rsidR="00530153">
        <w:t>amministrativo</w:t>
      </w:r>
      <w:r>
        <w:t xml:space="preserve"> e la</w:t>
      </w:r>
      <w:r w:rsidR="00630BC2">
        <w:t xml:space="preserve"> contestuale fase di pagamento del canone. In definitiva, si ritiene necessario assoggettare a Canone Unico Patrimoniale tutti i passi carrabili autorizzati ai sensi del Codice della Strada indistintamente dallo stato dei luoghi, salvo poi </w:t>
      </w:r>
      <w:r w:rsidR="009437A7">
        <w:t xml:space="preserve">eventualmente </w:t>
      </w:r>
      <w:r w:rsidR="00630BC2">
        <w:t>prevedere da parte dei singoli enti</w:t>
      </w:r>
      <w:r w:rsidR="00647602">
        <w:t>,</w:t>
      </w:r>
      <w:r w:rsidR="00630BC2">
        <w:t xml:space="preserve"> </w:t>
      </w:r>
      <w:r w:rsidR="009437A7">
        <w:t xml:space="preserve">in forza della potestà regolamentare e autonomia in materia di proprie entrate, </w:t>
      </w:r>
      <w:r w:rsidR="00630BC2">
        <w:t>tariffe differenziate</w:t>
      </w:r>
      <w:r w:rsidR="00647602">
        <w:t xml:space="preserve"> che possono arrivare </w:t>
      </w:r>
      <w:r w:rsidR="00506B00">
        <w:t>finanche all’azzeramento,</w:t>
      </w:r>
      <w:r w:rsidR="00630BC2">
        <w:t xml:space="preserve"> </w:t>
      </w:r>
      <w:r w:rsidR="00506B00">
        <w:t>in base alle</w:t>
      </w:r>
      <w:r w:rsidR="00606F69">
        <w:t xml:space="preserve"> caratteristiche </w:t>
      </w:r>
      <w:r w:rsidR="00630BC2">
        <w:t xml:space="preserve">degli accessi e </w:t>
      </w:r>
      <w:r w:rsidR="00506B00">
        <w:t>al</w:t>
      </w:r>
      <w:r w:rsidR="00630BC2">
        <w:t xml:space="preserve"> loro uso.</w:t>
      </w:r>
    </w:p>
    <w:p w14:paraId="1B12A3FB" w14:textId="22B2E007" w:rsidR="00630BC2" w:rsidRDefault="00630BC2" w:rsidP="00630BC2">
      <w:pPr>
        <w:jc w:val="both"/>
      </w:pPr>
      <w:r>
        <w:t>In questo senso</w:t>
      </w:r>
      <w:r w:rsidR="009437A7">
        <w:t xml:space="preserve">, può essere </w:t>
      </w:r>
      <w:r>
        <w:t>interessante una valutazione</w:t>
      </w:r>
      <w:r w:rsidR="009437A7">
        <w:t xml:space="preserve"> che si rifletta sull’impianto tariffario,</w:t>
      </w:r>
      <w:r>
        <w:t xml:space="preserve"> sia sulle </w:t>
      </w:r>
      <w:r w:rsidR="009437A7">
        <w:t xml:space="preserve">reali </w:t>
      </w:r>
      <w:r>
        <w:t xml:space="preserve">modifiche </w:t>
      </w:r>
      <w:r w:rsidR="00606F69">
        <w:t>derivanti dal</w:t>
      </w:r>
      <w:r>
        <w:t xml:space="preserve">l’autorizzazione di passo carrabile, </w:t>
      </w:r>
      <w:r w:rsidR="00506B00">
        <w:t xml:space="preserve">come </w:t>
      </w:r>
      <w:r>
        <w:t xml:space="preserve">ad esempio la necessità di realizzare un’interruzione del marciapiede </w:t>
      </w:r>
      <w:r w:rsidR="00606F69">
        <w:t>pedonale</w:t>
      </w:r>
      <w:r>
        <w:t>, o l’eliminazione di uno stallo di parcheggio</w:t>
      </w:r>
      <w:r w:rsidR="00606F69">
        <w:t xml:space="preserve"> nell’area antistante l’accesso, sia sull</w:t>
      </w:r>
      <w:r w:rsidR="009437A7">
        <w:t>a frequenza d’</w:t>
      </w:r>
      <w:r w:rsidR="00606F69">
        <w:t xml:space="preserve">uso del varco servito dal passo carrabile. Su quest’ultimo elemento potrebbe essere interessante </w:t>
      </w:r>
      <w:r w:rsidR="009437A7">
        <w:t xml:space="preserve">infatti </w:t>
      </w:r>
      <w:r w:rsidR="00606F69">
        <w:t>capire quale sacrificio si impone alla collettività con l’u</w:t>
      </w:r>
      <w:r w:rsidR="00506B00">
        <w:t>tilizzo</w:t>
      </w:r>
      <w:r w:rsidR="009437A7">
        <w:t>,</w:t>
      </w:r>
      <w:r w:rsidR="00606F69">
        <w:t xml:space="preserve"> più o meno frequente</w:t>
      </w:r>
      <w:r w:rsidR="009437A7">
        <w:t>,</w:t>
      </w:r>
      <w:r w:rsidR="00606F69">
        <w:t xml:space="preserve"> di un accesso carrabile con il quale ci si immette nella circolazione pubblica. È evidente come cambi l’impatto</w:t>
      </w:r>
      <w:r w:rsidR="009437A7">
        <w:t>, sulla circolazione veicolare,</w:t>
      </w:r>
      <w:r w:rsidR="00606F69">
        <w:t xml:space="preserve"> se si tratta di un passo carrabile di una singola abitazione, rispetto a quello di un condominio o di una attività commerciale o industriale dove quotidianamente transitano centinaia di veicoli.</w:t>
      </w:r>
      <w:r w:rsidR="00D157D9">
        <w:t xml:space="preserve"> Questo potrà avere riflessi sulla tariffa applicata.</w:t>
      </w:r>
    </w:p>
    <w:p w14:paraId="558C00F7" w14:textId="47BA4112" w:rsidR="008E617B" w:rsidRDefault="00506B00" w:rsidP="00630BC2">
      <w:pPr>
        <w:jc w:val="both"/>
      </w:pPr>
      <w:r>
        <w:t xml:space="preserve">Detto </w:t>
      </w:r>
      <w:r w:rsidR="009437A7">
        <w:t xml:space="preserve">pertanto </w:t>
      </w:r>
      <w:r>
        <w:t>che oggi ha senso legare l’applicazione del canone ai passi carrabili che seguono l’iter autorizzativo</w:t>
      </w:r>
      <w:r w:rsidR="009437A7">
        <w:t xml:space="preserve"> indicato dal Codice della Strada</w:t>
      </w:r>
      <w:r>
        <w:t>,</w:t>
      </w:r>
      <w:r w:rsidR="008E617B">
        <w:t xml:space="preserve"> dovremo </w:t>
      </w:r>
      <w:r w:rsidR="0098003F">
        <w:t xml:space="preserve">di conseguenza </w:t>
      </w:r>
      <w:r w:rsidR="008E617B">
        <w:t xml:space="preserve">valutare </w:t>
      </w:r>
      <w:r w:rsidR="0098003F">
        <w:t xml:space="preserve">come abusive </w:t>
      </w:r>
      <w:r w:rsidR="008E617B">
        <w:t>tutte quelle situazioni che non rispettano le prescrizioni contenute nell’articolo 22, e procedere ad una attività di accertamento per quegli accessi</w:t>
      </w:r>
      <w:r w:rsidR="00647602">
        <w:t xml:space="preserve"> che risultano in uso</w:t>
      </w:r>
      <w:r>
        <w:t xml:space="preserve"> senza la prescritta </w:t>
      </w:r>
      <w:r w:rsidR="0098003F">
        <w:t>autorizzazione dell’ente proprietario della strada</w:t>
      </w:r>
      <w:r w:rsidR="008E617B">
        <w:t>.</w:t>
      </w:r>
    </w:p>
    <w:p w14:paraId="67D9CBED" w14:textId="3EAD3AFE" w:rsidR="00D157D9" w:rsidRPr="00A53EFC" w:rsidRDefault="00D157D9" w:rsidP="00D157D9">
      <w:pPr>
        <w:jc w:val="both"/>
        <w:rPr>
          <w:i/>
          <w:iCs/>
        </w:rPr>
      </w:pPr>
      <w:r>
        <w:t xml:space="preserve">A mente dell’articolo 44 del Regolamento di attuazione del Codice della Strada: </w:t>
      </w:r>
      <w:r w:rsidRPr="00D157D9">
        <w:rPr>
          <w:i/>
          <w:iCs/>
        </w:rPr>
        <w:t>“</w:t>
      </w:r>
      <w:r w:rsidRPr="00D157D9">
        <w:rPr>
          <w:i/>
          <w:iCs/>
        </w:rPr>
        <w:t>si definiscono accessi:</w:t>
      </w:r>
      <w:r w:rsidRPr="00D157D9">
        <w:rPr>
          <w:i/>
          <w:iCs/>
        </w:rPr>
        <w:t xml:space="preserve"> </w:t>
      </w:r>
      <w:r w:rsidRPr="00D157D9">
        <w:rPr>
          <w:i/>
          <w:iCs/>
        </w:rPr>
        <w:t>a) le immissioni di una strada privata su una strada ad uso pubblico;</w:t>
      </w:r>
      <w:r w:rsidRPr="00D157D9">
        <w:rPr>
          <w:i/>
          <w:iCs/>
        </w:rPr>
        <w:t xml:space="preserve"> </w:t>
      </w:r>
      <w:r w:rsidRPr="00D157D9">
        <w:rPr>
          <w:i/>
          <w:iCs/>
        </w:rPr>
        <w:t>b) le immissioni per veicoli da un'area privata laterale alla strada di uso pubblico.</w:t>
      </w:r>
      <w:r w:rsidRPr="00D157D9">
        <w:rPr>
          <w:i/>
          <w:iCs/>
        </w:rPr>
        <w:t>”</w:t>
      </w:r>
      <w:r>
        <w:t xml:space="preserve"> Il comma 2 dell’articolo 44 prosegue </w:t>
      </w:r>
      <w:r w:rsidR="00A53EFC">
        <w:t xml:space="preserve">individuando le tipologie di accesso: </w:t>
      </w:r>
      <w:r w:rsidR="00A53EFC" w:rsidRPr="00A53EFC">
        <w:rPr>
          <w:i/>
          <w:iCs/>
        </w:rPr>
        <w:t>“</w:t>
      </w:r>
      <w:r w:rsidR="00A53EFC" w:rsidRPr="00A53EFC">
        <w:rPr>
          <w:i/>
          <w:iCs/>
        </w:rPr>
        <w:t>Gli accessi di cui al comma 1 si distinguono in accessi a raso, accessi a livelli sfalsati e accessi misti</w:t>
      </w:r>
      <w:r w:rsidR="00A53EFC" w:rsidRPr="00A53EFC">
        <w:rPr>
          <w:i/>
          <w:iCs/>
        </w:rPr>
        <w:t>”</w:t>
      </w:r>
      <w:r w:rsidR="00A53EFC">
        <w:rPr>
          <w:i/>
          <w:iCs/>
        </w:rPr>
        <w:t>.</w:t>
      </w:r>
    </w:p>
    <w:p w14:paraId="3A15549E" w14:textId="5C466832" w:rsidR="00506B00" w:rsidRDefault="0098003F" w:rsidP="00630BC2">
      <w:pPr>
        <w:jc w:val="both"/>
      </w:pPr>
      <w:r>
        <w:t xml:space="preserve">In merito </w:t>
      </w:r>
      <w:r w:rsidR="00A25D37">
        <w:t>alla procedura</w:t>
      </w:r>
      <w:r>
        <w:t xml:space="preserve"> di rilascio dell’autorizzazione, </w:t>
      </w:r>
      <w:r w:rsidR="00A53EFC">
        <w:t xml:space="preserve">per le tre tipologie di accesso previsti, a raso,  con accesso sfalsato e misti, </w:t>
      </w:r>
      <w:r w:rsidR="00506B00">
        <w:t>la fase centrale di tutto il processo diventa</w:t>
      </w:r>
      <w:r>
        <w:t xml:space="preserve"> a questo </w:t>
      </w:r>
      <w:r w:rsidR="00A25D37">
        <w:t>punto l’attività</w:t>
      </w:r>
      <w:r w:rsidR="00506B00">
        <w:t xml:space="preserve"> istruttoria da parte dell’ente territorialmente competente.</w:t>
      </w:r>
      <w:r>
        <w:t xml:space="preserve"> </w:t>
      </w:r>
      <w:r w:rsidR="00A53EFC">
        <w:t xml:space="preserve">Delle </w:t>
      </w:r>
      <w:r>
        <w:t>4 fasi</w:t>
      </w:r>
      <w:r w:rsidR="00A53EFC">
        <w:t xml:space="preserve">, che possiamo indicare </w:t>
      </w:r>
      <w:r>
        <w:t>in domanda, istruttoria, pagamento, rilascio autorizzazione</w:t>
      </w:r>
      <w:r w:rsidR="00A53EFC">
        <w:t xml:space="preserve">, è sicuramente quella che richiede maggior attenzione. </w:t>
      </w:r>
    </w:p>
    <w:p w14:paraId="5F7BE799" w14:textId="5BA769E9" w:rsidR="00506B00" w:rsidRDefault="00506B00" w:rsidP="00630BC2">
      <w:pPr>
        <w:jc w:val="both"/>
      </w:pPr>
      <w:r>
        <w:t>Il soggetto richiedente avanzerà all’ente la domanda di passo carrabile, nella quale riportare tutte le informazioni necessarie per individuare</w:t>
      </w:r>
      <w:r w:rsidR="0098003F">
        <w:t xml:space="preserve"> sia</w:t>
      </w:r>
      <w:r>
        <w:t xml:space="preserve"> </w:t>
      </w:r>
      <w:r w:rsidR="00C16F80">
        <w:t xml:space="preserve">i </w:t>
      </w:r>
      <w:r>
        <w:t>requisiti oggetti dell’accesso</w:t>
      </w:r>
      <w:r w:rsidR="00647602">
        <w:t xml:space="preserve"> </w:t>
      </w:r>
      <w:r w:rsidR="0098003F">
        <w:t xml:space="preserve">che quelli </w:t>
      </w:r>
      <w:r w:rsidR="00647602">
        <w:t>soggettivi del richiedente</w:t>
      </w:r>
      <w:r w:rsidR="009B0202">
        <w:t xml:space="preserve">, </w:t>
      </w:r>
      <w:r w:rsidR="00C16F80">
        <w:t>dopodiché</w:t>
      </w:r>
      <w:r w:rsidR="009B0202">
        <w:t xml:space="preserve"> gli uffici comunali </w:t>
      </w:r>
      <w:r w:rsidR="00647602">
        <w:t xml:space="preserve">stessi </w:t>
      </w:r>
      <w:r w:rsidR="00C16F80">
        <w:t>avvieranno</w:t>
      </w:r>
      <w:r w:rsidR="009B0202">
        <w:t xml:space="preserve"> le procedure di istruttoria</w:t>
      </w:r>
      <w:r w:rsidR="00C16F80">
        <w:t xml:space="preserve"> necessarie per il rilascio dell’autorizzazione </w:t>
      </w:r>
      <w:r w:rsidR="00647602">
        <w:t xml:space="preserve">espressa </w:t>
      </w:r>
      <w:r w:rsidR="00C16F80">
        <w:t>ai sensi dell’articolo 22 del Codice della Strada.</w:t>
      </w:r>
    </w:p>
    <w:p w14:paraId="6BFE2A1F" w14:textId="4E66BB32" w:rsidR="00647602" w:rsidRDefault="00647602" w:rsidP="00630BC2">
      <w:pPr>
        <w:jc w:val="both"/>
      </w:pPr>
      <w:r>
        <w:t xml:space="preserve">In questa nuova struttura di gestione dei passi carrabili che vede, come ampiamente detto, l’aspetto fiscale fondersi con quello amministrativo, sarà utile gestire l’iter autorizzatorio in sinergia con i diversi uffici, a partire dalla compilazione di una scheda di sopralluogo nella quale raccogliere tutte le informazioni utili </w:t>
      </w:r>
      <w:r w:rsidR="0098003F">
        <w:t xml:space="preserve">sia </w:t>
      </w:r>
      <w:r>
        <w:t>per il rilascio del provvedimento</w:t>
      </w:r>
      <w:r w:rsidR="0098003F">
        <w:t xml:space="preserve">, che per </w:t>
      </w:r>
      <w:r>
        <w:t>la successiva e conseguente gestione della posizione a pagamento del canone</w:t>
      </w:r>
      <w:r w:rsidR="00FE22F4">
        <w:t>.</w:t>
      </w:r>
    </w:p>
    <w:p w14:paraId="44136E6A" w14:textId="37AC0703" w:rsidR="00FE22F4" w:rsidRDefault="00FE22F4" w:rsidP="00630BC2">
      <w:pPr>
        <w:jc w:val="both"/>
      </w:pPr>
      <w:r>
        <w:t xml:space="preserve">Nella scheda di rilevazione, il personale incaricato, dovrà </w:t>
      </w:r>
      <w:r w:rsidR="0098003F">
        <w:t xml:space="preserve">quindi </w:t>
      </w:r>
      <w:r>
        <w:t>raccogliere le seguenti informazioni:</w:t>
      </w:r>
    </w:p>
    <w:p w14:paraId="5759CA7D" w14:textId="077E0715" w:rsidR="00FE22F4" w:rsidRDefault="00FE22F4" w:rsidP="00133659">
      <w:pPr>
        <w:pStyle w:val="Paragrafoelenco"/>
        <w:numPr>
          <w:ilvl w:val="0"/>
          <w:numId w:val="2"/>
        </w:numPr>
        <w:jc w:val="both"/>
      </w:pPr>
      <w:r>
        <w:t xml:space="preserve">i dati </w:t>
      </w:r>
      <w:r w:rsidR="0098003F">
        <w:t xml:space="preserve">fiscali </w:t>
      </w:r>
      <w:r>
        <w:t>del richiedente, con l’indicazione del titolo in base al quale effettua la richiesta</w:t>
      </w:r>
      <w:r w:rsidR="007458ED">
        <w:t>;</w:t>
      </w:r>
      <w:r>
        <w:t xml:space="preserve"> </w:t>
      </w:r>
    </w:p>
    <w:p w14:paraId="06A2170D" w14:textId="6D5DBEAB" w:rsidR="00FE22F4" w:rsidRDefault="00FE22F4" w:rsidP="00133659">
      <w:pPr>
        <w:pStyle w:val="Paragrafoelenco"/>
        <w:numPr>
          <w:ilvl w:val="0"/>
          <w:numId w:val="2"/>
        </w:numPr>
        <w:jc w:val="both"/>
      </w:pPr>
      <w:r>
        <w:t>l’indirizzo dell’accesso, possibilmente con posizionamento in mappa del punto georeferenziato di accesso</w:t>
      </w:r>
      <w:r w:rsidR="007458ED">
        <w:t>;</w:t>
      </w:r>
    </w:p>
    <w:p w14:paraId="505C84B0" w14:textId="425A9AE8" w:rsidR="00FE22F4" w:rsidRDefault="00FE22F4" w:rsidP="00A53EFC">
      <w:pPr>
        <w:pStyle w:val="Paragrafoelenco"/>
        <w:numPr>
          <w:ilvl w:val="0"/>
          <w:numId w:val="2"/>
        </w:numPr>
        <w:jc w:val="both"/>
      </w:pPr>
      <w:r>
        <w:t>l’ampiezza del varco, da calcolare a seconda delle caratteristiche dell’accesso</w:t>
      </w:r>
      <w:r w:rsidR="0098003F">
        <w:t xml:space="preserve"> stesso</w:t>
      </w:r>
      <w:r>
        <w:t>; misurando la luce del varco in caso di accesso a raso, oppure misurando</w:t>
      </w:r>
      <w:r w:rsidR="0098003F">
        <w:t>,</w:t>
      </w:r>
      <w:r>
        <w:t xml:space="preserve"> sul fronte dell’edificio</w:t>
      </w:r>
      <w:r w:rsidR="0098003F">
        <w:t>,</w:t>
      </w:r>
      <w:r>
        <w:t xml:space="preserve"> la manomissione intesa a facilitare l’accesso (interruzione del marciapiede, smusso, scivolo, ecc..)</w:t>
      </w:r>
      <w:r w:rsidR="007458ED">
        <w:t>;</w:t>
      </w:r>
    </w:p>
    <w:p w14:paraId="69B496EA" w14:textId="158BFD3E" w:rsidR="00FE22F4" w:rsidRDefault="00FE22F4" w:rsidP="00133659">
      <w:pPr>
        <w:pStyle w:val="Paragrafoelenco"/>
        <w:numPr>
          <w:ilvl w:val="0"/>
          <w:numId w:val="2"/>
        </w:numPr>
        <w:jc w:val="both"/>
      </w:pPr>
      <w:r>
        <w:t>la distanza dagli incroci e/o dagli</w:t>
      </w:r>
      <w:r w:rsidR="0098003F">
        <w:t xml:space="preserve"> </w:t>
      </w:r>
      <w:r w:rsidR="00A25D37">
        <w:t>eventuali impianti</w:t>
      </w:r>
      <w:r>
        <w:t xml:space="preserve"> semaforici</w:t>
      </w:r>
      <w:r w:rsidR="00A25D37">
        <w:t xml:space="preserve"> (</w:t>
      </w:r>
      <w:r w:rsidR="00A25D37" w:rsidRPr="00A25D37">
        <w:t>deve essere distante almeno 12 metri dalle intersezioni</w:t>
      </w:r>
      <w:r w:rsidR="00A25D37">
        <w:t>)</w:t>
      </w:r>
    </w:p>
    <w:p w14:paraId="6A1CD5A2" w14:textId="03FC8DE1" w:rsidR="00FE22F4" w:rsidRDefault="00FE22F4" w:rsidP="00A53EFC">
      <w:pPr>
        <w:pStyle w:val="Paragrafoelenco"/>
        <w:numPr>
          <w:ilvl w:val="0"/>
          <w:numId w:val="2"/>
        </w:numPr>
        <w:jc w:val="both"/>
      </w:pPr>
      <w:r>
        <w:t>le caratteristiche della strada su cui aggetta l’accesso; potrà risultare strada con sostenuta viabilità, media viabilità, oppure poco trafficata</w:t>
      </w:r>
      <w:r w:rsidR="007458ED">
        <w:t>;</w:t>
      </w:r>
    </w:p>
    <w:p w14:paraId="19293F75" w14:textId="0D808052" w:rsidR="00FE22F4" w:rsidRDefault="00FE22F4" w:rsidP="00A53EFC">
      <w:pPr>
        <w:pStyle w:val="Paragrafoelenco"/>
        <w:numPr>
          <w:ilvl w:val="0"/>
          <w:numId w:val="2"/>
        </w:numPr>
        <w:jc w:val="both"/>
      </w:pPr>
      <w:r>
        <w:lastRenderedPageBreak/>
        <w:t>la verifica se è presente un cancello con apertura automatizzata, o se è previsto un</w:t>
      </w:r>
      <w:r w:rsidR="007458ED">
        <w:t xml:space="preserve">’entrata e uscita </w:t>
      </w:r>
      <w:r>
        <w:t>arretrat</w:t>
      </w:r>
      <w:r w:rsidR="007458ED">
        <w:t>a</w:t>
      </w:r>
      <w:r>
        <w:t xml:space="preserve"> rispetto alla carreggiata</w:t>
      </w:r>
      <w:r w:rsidR="007458ED">
        <w:t>;</w:t>
      </w:r>
    </w:p>
    <w:p w14:paraId="25D38189" w14:textId="2AC68823" w:rsidR="00FE22F4" w:rsidRDefault="00FE22F4" w:rsidP="00A53EFC">
      <w:pPr>
        <w:pStyle w:val="Paragrafoelenco"/>
        <w:numPr>
          <w:ilvl w:val="0"/>
          <w:numId w:val="2"/>
        </w:numPr>
        <w:jc w:val="both"/>
      </w:pPr>
      <w:r>
        <w:t>la visibilità che si ha dall’accesso per immettersi nella strada di circolazione con un veicolo</w:t>
      </w:r>
      <w:r w:rsidR="007458ED">
        <w:t xml:space="preserve">, ed eventualmente prescrivere l’uso di uno specchio parabolico stradale per avere una prospettiva più ampia e </w:t>
      </w:r>
      <w:r w:rsidR="007458ED" w:rsidRPr="007458ED">
        <w:t>migliorare il campo visivo</w:t>
      </w:r>
      <w:r w:rsidR="007458ED">
        <w:t xml:space="preserve"> di chi utilizza il passo carrabile</w:t>
      </w:r>
      <w:r w:rsidR="00A25D37">
        <w:t xml:space="preserve">. </w:t>
      </w:r>
      <w:r w:rsidR="00BC37E6">
        <w:t>D</w:t>
      </w:r>
      <w:r w:rsidR="00A25D37" w:rsidRPr="00A25D37">
        <w:t xml:space="preserve">eve essere </w:t>
      </w:r>
      <w:r w:rsidR="00BC37E6">
        <w:t xml:space="preserve">accertata una </w:t>
      </w:r>
      <w:r w:rsidR="00A25D37" w:rsidRPr="00A25D37">
        <w:t>visibil</w:t>
      </w:r>
      <w:r w:rsidR="00BC37E6">
        <w:t>ità quanto meno</w:t>
      </w:r>
      <w:r w:rsidR="00A25D37" w:rsidRPr="00A25D37">
        <w:t xml:space="preserve"> pari allo spazio di frenata risultante dalla velocità massima consentita nella strada medesima;</w:t>
      </w:r>
    </w:p>
    <w:p w14:paraId="12B6AB91" w14:textId="77777777" w:rsidR="002D43B9" w:rsidRDefault="007458ED" w:rsidP="002D43B9">
      <w:pPr>
        <w:pStyle w:val="Paragrafoelenco"/>
        <w:numPr>
          <w:ilvl w:val="0"/>
          <w:numId w:val="2"/>
        </w:numPr>
        <w:jc w:val="both"/>
      </w:pPr>
      <w:r>
        <w:t xml:space="preserve">infine </w:t>
      </w:r>
      <w:r w:rsidR="00536F14">
        <w:t xml:space="preserve">l’eventuale annotazione di </w:t>
      </w:r>
      <w:r>
        <w:t xml:space="preserve">ulteriori </w:t>
      </w:r>
      <w:r w:rsidR="00536F14">
        <w:t>prescrizioni da richiedere</w:t>
      </w:r>
      <w:r>
        <w:t>, sempre nell’ottica di g</w:t>
      </w:r>
      <w:r w:rsidR="00536F14">
        <w:t>arantire la sicurezza stradale.</w:t>
      </w:r>
      <w:r w:rsidR="002D43B9">
        <w:t xml:space="preserve"> </w:t>
      </w:r>
    </w:p>
    <w:p w14:paraId="23B5AECF" w14:textId="34065AFE" w:rsidR="00536F14" w:rsidRDefault="00A53EFC" w:rsidP="002D43B9">
      <w:pPr>
        <w:jc w:val="both"/>
      </w:pPr>
      <w:r>
        <w:t>La norma impone che g</w:t>
      </w:r>
      <w:r w:rsidR="002D43B9" w:rsidRPr="002D43B9">
        <w:t>li accessi devono essere localizzati dove l'orografia dei luoghi e l'andamento della strada consentono la più ampia visibilità della zona di svincolo e possibilmente nei tratti di strada in rettilineo, e realizzati in modo da consentire una agevole e sicura manovra di immissione o di uscita dalla sede stradale, senza che tale manovra comporti la sosta del veicolo sulla carreggiata.</w:t>
      </w:r>
    </w:p>
    <w:p w14:paraId="582181FD" w14:textId="17B39859" w:rsidR="002D43B9" w:rsidRDefault="001E7567" w:rsidP="002D43B9">
      <w:pPr>
        <w:jc w:val="both"/>
      </w:pPr>
      <w:r w:rsidRPr="001E7567">
        <w:t>L'ente proprietario della strada può negare l'autorizzazione per nuovi accessi, diramazioni e innesti, o per la trasformazione di quelli esistenti o per la variazione d'uso degli stessi quando ritenga che da essi possa derivare pregiudizio alla sicurezza e fluidità della circolazione</w:t>
      </w:r>
      <w:r>
        <w:t>.</w:t>
      </w:r>
    </w:p>
    <w:p w14:paraId="0FAF0126" w14:textId="420CDF3E" w:rsidR="00AE6DB7" w:rsidRDefault="001E7567" w:rsidP="00A25D37">
      <w:pPr>
        <w:jc w:val="both"/>
      </w:pPr>
      <w:r>
        <w:t xml:space="preserve">Fatte queste importanti </w:t>
      </w:r>
      <w:r w:rsidR="00A53EFC">
        <w:t>precisazioni che troviamo all’articolo 45 del Regolamento di attuazione</w:t>
      </w:r>
      <w:r>
        <w:t>, grazie ad</w:t>
      </w:r>
      <w:r w:rsidR="00AE6DB7">
        <w:t xml:space="preserve"> una buona scheda di sopralluogo, completare l’istruttoria sarà </w:t>
      </w:r>
      <w:r w:rsidR="00A25D37">
        <w:t>molto più agevole. Sarà sicuramente necessario, oltre all</w:t>
      </w:r>
      <w:r w:rsidR="00D157D9">
        <w:t>e</w:t>
      </w:r>
      <w:r w:rsidR="00A25D37">
        <w:t xml:space="preserve"> verific</w:t>
      </w:r>
      <w:r w:rsidR="00D157D9">
        <w:t>he sulla sicurezza stradale</w:t>
      </w:r>
      <w:r w:rsidR="00A25D37">
        <w:t xml:space="preserve">  desumibili </w:t>
      </w:r>
      <w:r w:rsidR="00D157D9">
        <w:t>dai dati della</w:t>
      </w:r>
      <w:r w:rsidR="00A25D37">
        <w:t xml:space="preserve"> scheda, raccogliere</w:t>
      </w:r>
      <w:r w:rsidR="00A53EFC">
        <w:t xml:space="preserve"> anche</w:t>
      </w:r>
      <w:r w:rsidR="00A25D37">
        <w:t xml:space="preserve"> il parere dell’ufficio tecnico</w:t>
      </w:r>
      <w:r w:rsidR="00AE6DB7">
        <w:t xml:space="preserve"> </w:t>
      </w:r>
      <w:r w:rsidR="00A25D37">
        <w:t xml:space="preserve">per verificare il </w:t>
      </w:r>
      <w:r w:rsidR="00A25D37" w:rsidRPr="00A25D37">
        <w:t>rispetto della normativa edilizia e urbanistica vigente</w:t>
      </w:r>
      <w:r w:rsidR="00A25D37">
        <w:t xml:space="preserve">, dopodiché, acquisito anche questo nulla osta, </w:t>
      </w:r>
      <w:r w:rsidR="00AE6DB7">
        <w:t>si potrà procedere all’invito a pagamento del soggetto richiedente</w:t>
      </w:r>
      <w:r>
        <w:t xml:space="preserve"> </w:t>
      </w:r>
      <w:r w:rsidR="00AE6DB7">
        <w:t xml:space="preserve">che verserà il CUP liquidato </w:t>
      </w:r>
      <w:r>
        <w:t xml:space="preserve">dall’ufficio tributi, </w:t>
      </w:r>
      <w:r w:rsidR="00D157D9">
        <w:t>in aggiunta</w:t>
      </w:r>
      <w:r w:rsidR="00AE6DB7">
        <w:t xml:space="preserve"> </w:t>
      </w:r>
      <w:r>
        <w:t>al</w:t>
      </w:r>
      <w:r w:rsidR="00AE6DB7">
        <w:t xml:space="preserve">le eventuali spese che il Comune vorrà applicare per l’istruttoria e </w:t>
      </w:r>
      <w:r>
        <w:t xml:space="preserve">per </w:t>
      </w:r>
      <w:r w:rsidR="00AE6DB7">
        <w:t>il rilascio del cartello.</w:t>
      </w:r>
    </w:p>
    <w:p w14:paraId="79BC0489" w14:textId="714F1113" w:rsidR="00D95E79" w:rsidRDefault="001E7567" w:rsidP="00D01E5C">
      <w:pPr>
        <w:jc w:val="both"/>
      </w:pPr>
      <w:r>
        <w:t xml:space="preserve">A questo proposito </w:t>
      </w:r>
      <w:r w:rsidR="00D157D9">
        <w:t>è molto</w:t>
      </w:r>
      <w:r w:rsidR="00A93D04">
        <w:t xml:space="preserve"> importante</w:t>
      </w:r>
      <w:r w:rsidR="00AE6DB7">
        <w:t xml:space="preserve"> che il </w:t>
      </w:r>
      <w:r w:rsidR="00D157D9">
        <w:t>cartello di</w:t>
      </w:r>
      <w:r w:rsidR="00AE6DB7">
        <w:t xml:space="preserve"> passo carrabile sia rilasciato dall’ente, riportando il numero di concessione e il logo del Comune. Questo come deterrente </w:t>
      </w:r>
      <w:r w:rsidR="00A93D04">
        <w:t>al fenomeno molto diffuso di a</w:t>
      </w:r>
      <w:r w:rsidR="00AE6DB7">
        <w:t xml:space="preserve">pposizione di cartelli abusivi </w:t>
      </w:r>
      <w:r w:rsidR="00A93D04">
        <w:t xml:space="preserve">semplicemente </w:t>
      </w:r>
      <w:r w:rsidR="00AE6DB7">
        <w:t xml:space="preserve">acquistati presso attività commerciali. </w:t>
      </w:r>
      <w:r w:rsidR="00A93D04">
        <w:t>In questo senso, a</w:t>
      </w:r>
      <w:r w:rsidR="00AE6DB7">
        <w:t xml:space="preserve">lcune Amministrazioni </w:t>
      </w:r>
      <w:r w:rsidR="00A93D04">
        <w:t xml:space="preserve">virtuose, </w:t>
      </w:r>
      <w:r w:rsidR="00AE6DB7">
        <w:t>si sono dotat</w:t>
      </w:r>
      <w:r w:rsidR="00A93D04">
        <w:t>e</w:t>
      </w:r>
      <w:r w:rsidR="00AE6DB7">
        <w:t xml:space="preserve"> di cartelli personalizzati provvisti di QR Code che consentono agli organi di vigilanza di controllare </w:t>
      </w:r>
      <w:r w:rsidR="00A93D04">
        <w:t>in tempo reale direttamente</w:t>
      </w:r>
      <w:r w:rsidR="00AE6DB7">
        <w:t xml:space="preserve"> dalla strada </w:t>
      </w:r>
      <w:r w:rsidR="00A93D04">
        <w:t>tutte le informazioni dell’accesso, controllando la scadenza dell’autorizzazione, i dati del richiedente, la presenza di eventuali prescrizioni, e i dati sul</w:t>
      </w:r>
      <w:r w:rsidR="00D157D9">
        <w:t>lo stato dei</w:t>
      </w:r>
      <w:r w:rsidR="00A93D04">
        <w:t xml:space="preserve"> pagament</w:t>
      </w:r>
      <w:r w:rsidR="00D157D9">
        <w:t>i</w:t>
      </w:r>
      <w:r w:rsidR="00A93D04">
        <w:t xml:space="preserve"> del canone. Un’attività oggi</w:t>
      </w:r>
      <w:r w:rsidR="00A53EFC">
        <w:t xml:space="preserve"> tecnologicamente possibile</w:t>
      </w:r>
      <w:r w:rsidR="00A93D04">
        <w:t xml:space="preserve"> che permette di individuare a colpo d’occhio e con assoluta certezza i passi carrabili abusivi, o appartenenti a soggetti che non hanno ottemperato al pagamento.</w:t>
      </w:r>
      <w:r w:rsidR="00D157D9">
        <w:t xml:space="preserve"> Occorrerà </w:t>
      </w:r>
      <w:r w:rsidR="00D157D9">
        <w:t>co</w:t>
      </w:r>
      <w:r w:rsidR="00D157D9">
        <w:t>nsegnare</w:t>
      </w:r>
      <w:r w:rsidR="00D157D9">
        <w:t xml:space="preserve"> i cartelli dotati di QR Code a tutti</w:t>
      </w:r>
      <w:r w:rsidR="00D157D9">
        <w:t xml:space="preserve"> coloro che richiedono un nuovo accesso</w:t>
      </w:r>
      <w:r w:rsidR="00A53EFC">
        <w:t xml:space="preserve">, </w:t>
      </w:r>
      <w:r w:rsidR="00D157D9">
        <w:t xml:space="preserve"> </w:t>
      </w:r>
      <w:r w:rsidR="00A53EFC">
        <w:t>oltre chiaramente</w:t>
      </w:r>
      <w:r w:rsidR="00D157D9">
        <w:t xml:space="preserve"> a</w:t>
      </w:r>
      <w:r w:rsidR="00A53EFC">
        <w:t xml:space="preserve"> coloro che sono </w:t>
      </w:r>
      <w:r w:rsidR="00D157D9">
        <w:t xml:space="preserve">titolari di </w:t>
      </w:r>
      <w:r w:rsidR="00D157D9">
        <w:t>passi carrabili</w:t>
      </w:r>
      <w:r w:rsidR="00D157D9">
        <w:t xml:space="preserve"> </w:t>
      </w:r>
      <w:r w:rsidR="00D157D9">
        <w:t xml:space="preserve">già </w:t>
      </w:r>
      <w:r w:rsidR="00D157D9">
        <w:t>autorizzati e che risultano regolari nei pagamenti</w:t>
      </w:r>
      <w:r w:rsidR="00D157D9">
        <w:t>.</w:t>
      </w:r>
    </w:p>
    <w:sectPr w:rsidR="00D95E79" w:rsidSect="004009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5110E"/>
    <w:multiLevelType w:val="hybridMultilevel"/>
    <w:tmpl w:val="A502D8F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60360"/>
    <w:multiLevelType w:val="hybridMultilevel"/>
    <w:tmpl w:val="F5D8F270"/>
    <w:lvl w:ilvl="0" w:tplc="03B8E782">
      <w:numFmt w:val="bullet"/>
      <w:lvlText w:val="-"/>
      <w:lvlJc w:val="left"/>
      <w:pPr>
        <w:ind w:left="249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num w:numId="1" w16cid:durableId="1833638153">
    <w:abstractNumId w:val="1"/>
  </w:num>
  <w:num w:numId="2" w16cid:durableId="188521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AC"/>
    <w:rsid w:val="00086720"/>
    <w:rsid w:val="00087368"/>
    <w:rsid w:val="001070A6"/>
    <w:rsid w:val="00133659"/>
    <w:rsid w:val="001E7567"/>
    <w:rsid w:val="002D43B9"/>
    <w:rsid w:val="003265AC"/>
    <w:rsid w:val="0032692E"/>
    <w:rsid w:val="00380594"/>
    <w:rsid w:val="0040093D"/>
    <w:rsid w:val="00491BBC"/>
    <w:rsid w:val="004E5C9B"/>
    <w:rsid w:val="00506B00"/>
    <w:rsid w:val="00530153"/>
    <w:rsid w:val="00536F14"/>
    <w:rsid w:val="005B3A5D"/>
    <w:rsid w:val="005C1536"/>
    <w:rsid w:val="005C552C"/>
    <w:rsid w:val="00606F69"/>
    <w:rsid w:val="00611BF7"/>
    <w:rsid w:val="00630BC2"/>
    <w:rsid w:val="00647602"/>
    <w:rsid w:val="00653F9F"/>
    <w:rsid w:val="006A6FD1"/>
    <w:rsid w:val="007458ED"/>
    <w:rsid w:val="007F01F0"/>
    <w:rsid w:val="00831CA3"/>
    <w:rsid w:val="008E617B"/>
    <w:rsid w:val="009437A7"/>
    <w:rsid w:val="0098003F"/>
    <w:rsid w:val="009951E1"/>
    <w:rsid w:val="009B0202"/>
    <w:rsid w:val="009B6CF4"/>
    <w:rsid w:val="00A25D37"/>
    <w:rsid w:val="00A53EFC"/>
    <w:rsid w:val="00A91AFC"/>
    <w:rsid w:val="00A93D04"/>
    <w:rsid w:val="00AB0916"/>
    <w:rsid w:val="00AE6DB7"/>
    <w:rsid w:val="00B51BAB"/>
    <w:rsid w:val="00BA4247"/>
    <w:rsid w:val="00BC37E6"/>
    <w:rsid w:val="00C16F80"/>
    <w:rsid w:val="00C7690B"/>
    <w:rsid w:val="00C934E9"/>
    <w:rsid w:val="00D01E5C"/>
    <w:rsid w:val="00D157D9"/>
    <w:rsid w:val="00D30B50"/>
    <w:rsid w:val="00D95E79"/>
    <w:rsid w:val="00DB4A63"/>
    <w:rsid w:val="00E1460E"/>
    <w:rsid w:val="00E53B29"/>
    <w:rsid w:val="00E726ED"/>
    <w:rsid w:val="00E85BED"/>
    <w:rsid w:val="00F42E10"/>
    <w:rsid w:val="00FE22F4"/>
    <w:rsid w:val="00FE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04814"/>
  <w15:docId w15:val="{7C091BA6-7F20-49E6-9E3D-0ECA4CA1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070A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3265AC"/>
    <w:pPr>
      <w:tabs>
        <w:tab w:val="center" w:pos="4819"/>
        <w:tab w:val="right" w:pos="9638"/>
      </w:tabs>
      <w:spacing w:after="0" w:line="240" w:lineRule="auto"/>
    </w:pPr>
    <w:rPr>
      <w:rFonts w:ascii="Garamond" w:eastAsia="Times New Roman" w:hAnsi="Garamond" w:cs="Times New Roman"/>
      <w:sz w:val="21"/>
      <w:szCs w:val="20"/>
      <w:lang w:eastAsia="en-US"/>
    </w:rPr>
  </w:style>
  <w:style w:type="character" w:customStyle="1" w:styleId="IntestazioneCarattere">
    <w:name w:val="Intestazione Carattere"/>
    <w:basedOn w:val="Carpredefinitoparagrafo"/>
    <w:link w:val="Intestazione"/>
    <w:rsid w:val="003265AC"/>
    <w:rPr>
      <w:rFonts w:ascii="Garamond" w:eastAsia="Times New Roman" w:hAnsi="Garamond" w:cs="Times New Roman"/>
      <w:sz w:val="21"/>
      <w:szCs w:val="20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26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265AC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E14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CCC93-879F-4E1F-9DE4-C0402C1A8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3</Pages>
  <Words>1860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STURLESE</dc:creator>
  <cp:keywords/>
  <dc:description/>
  <cp:lastModifiedBy>Merciari</cp:lastModifiedBy>
  <cp:revision>20</cp:revision>
  <cp:lastPrinted>2024-03-22T07:03:00Z</cp:lastPrinted>
  <dcterms:created xsi:type="dcterms:W3CDTF">2024-03-22T07:07:00Z</dcterms:created>
  <dcterms:modified xsi:type="dcterms:W3CDTF">2024-04-21T15:47:00Z</dcterms:modified>
</cp:coreProperties>
</file>