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6152" w14:textId="591978BC" w:rsidR="009A05AD" w:rsidRPr="00354EF2" w:rsidRDefault="00354EF2" w:rsidP="009A05AD">
      <w:r w:rsidRPr="00354EF2">
        <w:t xml:space="preserve">Titolo: </w:t>
      </w:r>
      <w:r w:rsidR="001B5EF5" w:rsidRPr="001B5EF5">
        <w:t>l'utenza telefonica collegata a mezzo FWA</w:t>
      </w:r>
      <w:r w:rsidR="003B5D6D">
        <w:t xml:space="preserve"> non</w:t>
      </w:r>
      <w:r w:rsidR="001B5EF5" w:rsidRPr="001B5EF5">
        <w:t xml:space="preserve"> deve </w:t>
      </w:r>
      <w:r w:rsidR="009B2F55">
        <w:t>essere conteggiata per il pagamento del</w:t>
      </w:r>
      <w:r w:rsidR="001B5EF5" w:rsidRPr="001B5EF5">
        <w:t xml:space="preserve"> CUP</w:t>
      </w:r>
      <w:r w:rsidR="00084727">
        <w:t>?</w:t>
      </w:r>
    </w:p>
    <w:p w14:paraId="764789D9" w14:textId="103F57AC" w:rsidR="00354EF2" w:rsidRDefault="00354EF2" w:rsidP="009A05AD">
      <w:r w:rsidRPr="00354EF2">
        <w:t>Di Alessandro Merciari</w:t>
      </w:r>
    </w:p>
    <w:p w14:paraId="0D26CAB3" w14:textId="65844088" w:rsidR="000C53EF" w:rsidRDefault="00E7086A" w:rsidP="00E7086A">
      <w:pPr>
        <w:jc w:val="both"/>
      </w:pPr>
      <w:r>
        <w:t xml:space="preserve">In questi anni abbiamo imparato </w:t>
      </w:r>
      <w:r w:rsidR="00261ACC">
        <w:t>come</w:t>
      </w:r>
      <w:r>
        <w:t xml:space="preserve"> n</w:t>
      </w:r>
      <w:r w:rsidR="000C53EF">
        <w:t xml:space="preserve">ell’ambito dei servizi di rete, quello </w:t>
      </w:r>
      <w:r w:rsidR="00FC11C8">
        <w:t xml:space="preserve">che </w:t>
      </w:r>
      <w:r w:rsidR="00E76A8A">
        <w:t>maggiormente</w:t>
      </w:r>
      <w:r w:rsidR="00FC11C8">
        <w:t xml:space="preserve"> </w:t>
      </w:r>
      <w:r>
        <w:t>ha</w:t>
      </w:r>
      <w:r w:rsidR="00FC11C8">
        <w:t xml:space="preserve"> crea</w:t>
      </w:r>
      <w:r>
        <w:t>t</w:t>
      </w:r>
      <w:r w:rsidR="00FC11C8">
        <w:t xml:space="preserve">o incertezze applicative è </w:t>
      </w:r>
      <w:r>
        <w:t xml:space="preserve">stato </w:t>
      </w:r>
      <w:r w:rsidR="00FC11C8">
        <w:t>senza dubbio quello della telefonia, inteso sia come servizi voce che collegamenti internet.</w:t>
      </w:r>
    </w:p>
    <w:p w14:paraId="4AE05BED" w14:textId="269B8F21" w:rsidR="00FC11C8" w:rsidRDefault="00FC11C8" w:rsidP="00FC11C8">
      <w:pPr>
        <w:jc w:val="both"/>
      </w:pPr>
      <w:r>
        <w:t xml:space="preserve">Le moderne tecnologie di collegamento </w:t>
      </w:r>
      <w:r w:rsidR="00E7086A">
        <w:t>hanno reso sempre più</w:t>
      </w:r>
      <w:r>
        <w:t xml:space="preserve"> complesso il quadro della situazione con difficoltà di individuazione delle utenze collegate alla rete fisica che genera il presupposto per l’applicazione dello speciale canone regolato al comma 831 della Legge 160/2019. A complicare la situazione le interconnessioni tra le stesse tecnologie legate a</w:t>
      </w:r>
      <w:r w:rsidR="00481ED3">
        <w:t xml:space="preserve">ll’utilizzo di </w:t>
      </w:r>
      <w:r>
        <w:t xml:space="preserve">cavi e condutture con quelle di comunicazione elettronica </w:t>
      </w:r>
      <w:r w:rsidR="00481ED3">
        <w:t>pensate</w:t>
      </w:r>
      <w:r>
        <w:t xml:space="preserve"> per la telefonia mobile</w:t>
      </w:r>
      <w:r w:rsidR="00481ED3">
        <w:t xml:space="preserve"> ma</w:t>
      </w:r>
      <w:r>
        <w:t xml:space="preserve"> </w:t>
      </w:r>
      <w:r w:rsidR="00084727">
        <w:t>che</w:t>
      </w:r>
      <w:r>
        <w:t xml:space="preserve"> oggi</w:t>
      </w:r>
      <w:r w:rsidR="00481ED3">
        <w:t>, grazie al 5G,</w:t>
      </w:r>
      <w:r>
        <w:t xml:space="preserve"> </w:t>
      </w:r>
      <w:r w:rsidR="00084727">
        <w:t xml:space="preserve">si rendono </w:t>
      </w:r>
      <w:r>
        <w:t xml:space="preserve">disponibili anche per servizi di telefonia </w:t>
      </w:r>
      <w:r w:rsidR="00E7086A">
        <w:t xml:space="preserve">fissa </w:t>
      </w:r>
      <w:r>
        <w:t>e connessione internet</w:t>
      </w:r>
      <w:r w:rsidR="00084727">
        <w:t xml:space="preserve"> per le zone dove non arrivano le condutture </w:t>
      </w:r>
      <w:r w:rsidR="00481ED3">
        <w:t>in fibra ottica</w:t>
      </w:r>
      <w:r>
        <w:t xml:space="preserve">. </w:t>
      </w:r>
    </w:p>
    <w:p w14:paraId="573BA1E6" w14:textId="253E4013" w:rsidR="00E7086A" w:rsidRDefault="00AD135D" w:rsidP="00FC11C8">
      <w:pPr>
        <w:jc w:val="both"/>
      </w:pPr>
      <w:r>
        <w:t xml:space="preserve">Per gli enti locali, chiamati a verificare i versamenti ricevuti dalle aziende coinvolte nell’erogazione del servizio di rete diventa fondamentale </w:t>
      </w:r>
      <w:r w:rsidR="00481ED3">
        <w:t xml:space="preserve">a questo punto, non solo </w:t>
      </w:r>
      <w:r>
        <w:t>capire sul proprio territorio quali aziende telefoniche operano</w:t>
      </w:r>
      <w:r w:rsidR="00481ED3">
        <w:t>, ma</w:t>
      </w:r>
      <w:r>
        <w:t xml:space="preserve"> quali apparecchiature utilizzano per raggiungere l’utente finale. </w:t>
      </w:r>
    </w:p>
    <w:p w14:paraId="16B7F936" w14:textId="752CB39D" w:rsidR="00AD135D" w:rsidRDefault="00084727" w:rsidP="00FC11C8">
      <w:pPr>
        <w:jc w:val="both"/>
      </w:pPr>
      <w:r>
        <w:t xml:space="preserve">Si tratta di servizi erogati a mezzo </w:t>
      </w:r>
      <w:r w:rsidR="00E7086A">
        <w:t>di c</w:t>
      </w:r>
      <w:r w:rsidR="00AD135D">
        <w:t xml:space="preserve">avi e condutture? </w:t>
      </w:r>
      <w:r>
        <w:t xml:space="preserve">Rete fisica gestita in </w:t>
      </w:r>
      <w:r w:rsidR="00AD135D">
        <w:t xml:space="preserve">concessione o utilizzate in via mediata? </w:t>
      </w:r>
      <w:r>
        <w:t xml:space="preserve">In questi casi, </w:t>
      </w:r>
      <w:r w:rsidR="00481ED3">
        <w:t xml:space="preserve">con </w:t>
      </w:r>
      <w:r>
        <w:t>infrastrutture di collegamento fisico</w:t>
      </w:r>
      <w:r w:rsidR="00AD135D">
        <w:t xml:space="preserve"> si concentr</w:t>
      </w:r>
      <w:r w:rsidR="00E7086A">
        <w:t>erà</w:t>
      </w:r>
      <w:r w:rsidR="00AD135D">
        <w:t xml:space="preserve"> l’attenzione sul</w:t>
      </w:r>
      <w:r w:rsidR="00E7086A">
        <w:t xml:space="preserve"> numero di</w:t>
      </w:r>
      <w:r w:rsidR="00AD135D">
        <w:t xml:space="preserve"> utenze servite </w:t>
      </w:r>
      <w:r w:rsidR="00E7086A">
        <w:t xml:space="preserve">da ciascun operatore </w:t>
      </w:r>
      <w:r w:rsidR="00AD135D">
        <w:t>con applicazione del canone ex comma 831</w:t>
      </w:r>
      <w:r w:rsidR="00481ED3">
        <w:t>?</w:t>
      </w:r>
      <w:r w:rsidR="00AD135D">
        <w:t xml:space="preserve"> </w:t>
      </w:r>
      <w:r>
        <w:t>Per i casi invece di c</w:t>
      </w:r>
      <w:r w:rsidR="00AD135D">
        <w:t>ollegamento via antenna o ripetitore</w:t>
      </w:r>
      <w:r w:rsidR="00E7086A">
        <w:t xml:space="preserve"> come dobbiamo comportarci</w:t>
      </w:r>
      <w:r w:rsidR="00AD135D">
        <w:t xml:space="preserve">? </w:t>
      </w:r>
      <w:r>
        <w:t>In questi casi</w:t>
      </w:r>
      <w:r w:rsidR="00AD135D">
        <w:t xml:space="preserve"> si </w:t>
      </w:r>
      <w:r>
        <w:t xml:space="preserve">dovrà </w:t>
      </w:r>
      <w:r w:rsidR="00AD135D">
        <w:t>concentra</w:t>
      </w:r>
      <w:r>
        <w:t>re</w:t>
      </w:r>
      <w:r w:rsidR="00AD135D">
        <w:t xml:space="preserve"> l’attenzione sull’infrastruttura di comunicazione elettronica</w:t>
      </w:r>
      <w:r w:rsidR="00481ED3">
        <w:t>? Si dovrà fare riferimento alle antenne</w:t>
      </w:r>
      <w:r w:rsidR="00AD135D">
        <w:t xml:space="preserve"> installat</w:t>
      </w:r>
      <w:r w:rsidR="00481ED3">
        <w:t>e</w:t>
      </w:r>
      <w:r w:rsidR="00AD135D">
        <w:t xml:space="preserve"> su tralicci posizionati in area pubblica</w:t>
      </w:r>
      <w:r>
        <w:t xml:space="preserve"> che trasmettono il segnale anche a case e aziende non raggiunte dai servizi via cavo</w:t>
      </w:r>
      <w:r w:rsidR="00481ED3">
        <w:t xml:space="preserve">? Dovremo </w:t>
      </w:r>
      <w:r w:rsidR="00E7086A">
        <w:t>applicare</w:t>
      </w:r>
      <w:r w:rsidR="00481ED3">
        <w:t xml:space="preserve"> solo</w:t>
      </w:r>
      <w:r w:rsidR="00E7086A">
        <w:t xml:space="preserve"> il canone ex comma 831-bis</w:t>
      </w:r>
      <w:r w:rsidR="00481ED3">
        <w:t>?</w:t>
      </w:r>
    </w:p>
    <w:p w14:paraId="6E6D2722" w14:textId="338D96E7" w:rsidR="00AD135D" w:rsidRDefault="0055319E" w:rsidP="00FC11C8">
      <w:pPr>
        <w:jc w:val="both"/>
      </w:pPr>
      <w:r>
        <w:t>Il percorso di verifica che deve portare i Comuni e le Province a conteggiare e richiedere, anche a mezzo avviso di accertamento, il canone dovuto sia per effetto delle occupazioni permanenti</w:t>
      </w:r>
      <w:r w:rsidR="00481ED3">
        <w:t>, anche in via mediata,</w:t>
      </w:r>
      <w:r>
        <w:t xml:space="preserve"> di cui al comma 831, sia le occupazioni che generano il presupposto per il successivo comma 831-bis</w:t>
      </w:r>
      <w:r w:rsidR="00481ED3">
        <w:t xml:space="preserve">. Il </w:t>
      </w:r>
      <w:proofErr w:type="gramStart"/>
      <w:r w:rsidR="00481ED3">
        <w:t xml:space="preserve">lavoro </w:t>
      </w:r>
      <w:r>
        <w:t xml:space="preserve"> deve</w:t>
      </w:r>
      <w:proofErr w:type="gramEnd"/>
      <w:r w:rsidR="00E7086A">
        <w:t xml:space="preserve"> quindi</w:t>
      </w:r>
      <w:r>
        <w:t xml:space="preserve"> partire dall’individuare i vari soggetti che a vario titolo sono chiamati a versare il CUP. Aziende titolari di concessioni, aziende che utilizzano in via mediata le condutture, aziende strumentali all’erogazione dei servizi all’utente finale, aziende che trasmettono segnale per mezzo di antenne e ripetitori.</w:t>
      </w:r>
    </w:p>
    <w:p w14:paraId="0D4A1633" w14:textId="77777777" w:rsidR="00481ED3" w:rsidRDefault="0055319E" w:rsidP="00FC11C8">
      <w:pPr>
        <w:jc w:val="both"/>
      </w:pPr>
      <w:r>
        <w:t>Un quadro</w:t>
      </w:r>
      <w:r w:rsidR="00084727">
        <w:t xml:space="preserve"> estremamente</w:t>
      </w:r>
      <w:r>
        <w:t xml:space="preserve"> complesso dove </w:t>
      </w:r>
      <w:r w:rsidR="00E7086A">
        <w:t xml:space="preserve">spesso </w:t>
      </w:r>
      <w:r>
        <w:t xml:space="preserve">gli stessi operatori </w:t>
      </w:r>
      <w:r w:rsidR="00E7086A">
        <w:t>non collaborano con gli Enti interpretando la norma a proprio comodo e giocando su</w:t>
      </w:r>
      <w:r w:rsidR="00481ED3">
        <w:t>i diversi ruoli e le</w:t>
      </w:r>
      <w:r w:rsidR="00E7086A">
        <w:t xml:space="preserve"> diverse </w:t>
      </w:r>
      <w:r>
        <w:t>funzioni e interconness</w:t>
      </w:r>
      <w:r w:rsidR="00845872">
        <w:t>ioni presenti tra</w:t>
      </w:r>
      <w:r>
        <w:t xml:space="preserve"> di loro. </w:t>
      </w:r>
      <w:r w:rsidR="00845872">
        <w:t>A questo si aggiunga che n</w:t>
      </w:r>
      <w:r>
        <w:t xml:space="preserve">el mercato delle telecomunicazioni sempre più offerte alla clientela si basano su tecnologie </w:t>
      </w:r>
      <w:r w:rsidR="008A1DB1">
        <w:t xml:space="preserve">miste che permettono gli utenti di navigare in internet sfruttando </w:t>
      </w:r>
      <w:r w:rsidR="00437748">
        <w:t xml:space="preserve">sia </w:t>
      </w:r>
      <w:r w:rsidR="008A1DB1">
        <w:t>il segnale che arriva a mezzo fibra ottica</w:t>
      </w:r>
      <w:r w:rsidR="00437748">
        <w:t xml:space="preserve">, sia quello trasmesso via </w:t>
      </w:r>
      <w:r w:rsidR="008A1DB1">
        <w:t>radio.</w:t>
      </w:r>
      <w:r w:rsidR="00437748">
        <w:t xml:space="preserve"> </w:t>
      </w:r>
    </w:p>
    <w:p w14:paraId="63B33815" w14:textId="7F52245E" w:rsidR="0055319E" w:rsidRDefault="00437748" w:rsidP="00FC11C8">
      <w:pPr>
        <w:jc w:val="both"/>
      </w:pPr>
      <w:r>
        <w:t xml:space="preserve">Ma allora come fare a capire quali sono le utenze rilevanti ai fini del conteggio da applicare alla tariffa </w:t>
      </w:r>
      <w:r w:rsidR="00084727">
        <w:t>forfettaria</w:t>
      </w:r>
      <w:r>
        <w:t xml:space="preserve"> disposta dal Legislatore?</w:t>
      </w:r>
    </w:p>
    <w:p w14:paraId="32CFE919" w14:textId="0F07BB40" w:rsidR="009D260B" w:rsidRDefault="007B3788" w:rsidP="00B54DA3">
      <w:pPr>
        <w:jc w:val="both"/>
      </w:pPr>
      <w:r>
        <w:t xml:space="preserve">Prendiamo ad esempio la connessione cosiddetta FWA. </w:t>
      </w:r>
      <w:r w:rsidR="00B54DA3">
        <w:t>Si definisce FWA (</w:t>
      </w:r>
      <w:proofErr w:type="spellStart"/>
      <w:r w:rsidR="00B54DA3">
        <w:t>Fixed</w:t>
      </w:r>
      <w:proofErr w:type="spellEnd"/>
      <w:r w:rsidR="00B54DA3">
        <w:t xml:space="preserve"> Wireless Access) l’architettura di accesso ad </w:t>
      </w:r>
      <w:r w:rsidR="00261ACC">
        <w:t>Internet</w:t>
      </w:r>
      <w:r w:rsidR="00B54DA3">
        <w:t xml:space="preserve"> priva di sistemi di connessione materiale. In questo caso, i clienti si connettono mediante il proprio apparato radio ricevente ad una stazione radio base (BTS, base </w:t>
      </w:r>
      <w:proofErr w:type="spellStart"/>
      <w:r w:rsidR="00B54DA3">
        <w:t>transceiver</w:t>
      </w:r>
      <w:proofErr w:type="spellEnd"/>
      <w:r w:rsidR="00B54DA3">
        <w:t xml:space="preserve"> station), in cui gli operatori di comunicazioni elettroniche hanno installato i propri apparati trasmittenti.</w:t>
      </w:r>
    </w:p>
    <w:p w14:paraId="1E2BC088" w14:textId="0F0B67B1" w:rsidR="002C176E" w:rsidRDefault="002C176E" w:rsidP="002C176E">
      <w:pPr>
        <w:jc w:val="both"/>
      </w:pPr>
      <w:r>
        <w:t xml:space="preserve">La FWA è una tecnologia di connessione a banda larga che combina l’uso di fibra ottica e frequenze radio per fornire Internet ad alta velocità. Questo sistema ibrido è particolarmente utile nelle aree dove la fibra ottica non è disponibile, come zone rurali o montane. La FWA utilizza una rete mista: la fibra ottica trasporta il segnale fino a una stazione base, che poi trasmette il segnale tramite onde radio a un’antenna installata </w:t>
      </w:r>
      <w:r>
        <w:lastRenderedPageBreak/>
        <w:t xml:space="preserve">presso l’utente finale. Questa antenna </w:t>
      </w:r>
      <w:r w:rsidR="00481ED3">
        <w:t xml:space="preserve">a sua volta </w:t>
      </w:r>
      <w:r>
        <w:t xml:space="preserve">riceve il segnale e lo invia a un router, permettendo la connessione a Internet senza l’uso di cavi telefonici. </w:t>
      </w:r>
    </w:p>
    <w:p w14:paraId="20BDDEF0" w14:textId="344B1975" w:rsidR="000144E3" w:rsidRDefault="002C176E" w:rsidP="002C176E">
      <w:pPr>
        <w:jc w:val="both"/>
      </w:pPr>
      <w:r>
        <w:t xml:space="preserve">Ai fini che ci riguardano possiamo considerare l’utenza telefonica collegata a mezzo di questa tecnologia soggetta al pagamento del Canone ex comma 831 L. 160/2019? Da un lato occorre considerare che il “collegamento” tra apparato ricevente del privato e suddette BTS è garantito mediante frequenze radio, il tutto senza utilizzare reti, cavi, condutture o postazioni che ricadano su aree pubbliche, dall’altro occorre considerare che il segnale alle BTS arriva a mezzo condutture in fibra ottica che partecipano quindi alla fornitura dell’utente finale. </w:t>
      </w:r>
    </w:p>
    <w:p w14:paraId="1D9A0DF9" w14:textId="5626B27F" w:rsidR="002C176E" w:rsidRDefault="002C176E" w:rsidP="002C176E">
      <w:pPr>
        <w:jc w:val="both"/>
      </w:pPr>
      <w:r>
        <w:t>In questo quadro così articolato, caratterizzato da tecnologie moderne in continua evoluzione è davvero difficile inquadrare la giusta portata del Canone per i servizi di rete e identificare e quantificare</w:t>
      </w:r>
      <w:r w:rsidR="00481ED3">
        <w:t xml:space="preserve"> </w:t>
      </w:r>
      <w:r w:rsidR="00E10592">
        <w:t>correttamente</w:t>
      </w:r>
      <w:r>
        <w:t xml:space="preserve"> le utenze telefoniche a cui ricondurre il calcolo previsto al comma 831 piuttosto che a quello riferito al comma 831-bis</w:t>
      </w:r>
      <w:r w:rsidR="00845872">
        <w:t>, tuttavia</w:t>
      </w:r>
      <w:r w:rsidR="00D15F7F">
        <w:t>,</w:t>
      </w:r>
      <w:r w:rsidR="00845872">
        <w:t xml:space="preserve"> gli enti beneficiari</w:t>
      </w:r>
      <w:r w:rsidR="001E3152">
        <w:t xml:space="preserve"> del Canone</w:t>
      </w:r>
      <w:r w:rsidR="00D15F7F">
        <w:t>,</w:t>
      </w:r>
      <w:r w:rsidR="001E3152">
        <w:t xml:space="preserve"> </w:t>
      </w:r>
      <w:r w:rsidR="00845872">
        <w:t xml:space="preserve"> </w:t>
      </w:r>
      <w:r w:rsidR="00E10592">
        <w:t xml:space="preserve">non hanno alternative e </w:t>
      </w:r>
      <w:r w:rsidR="00845872">
        <w:t>sono chiamati a</w:t>
      </w:r>
      <w:r w:rsidR="001E3152">
        <w:t xml:space="preserve"> effettuare </w:t>
      </w:r>
      <w:r w:rsidR="00845872">
        <w:t xml:space="preserve">tutti i controlli </w:t>
      </w:r>
      <w:r w:rsidR="00D15F7F">
        <w:t xml:space="preserve">possibili </w:t>
      </w:r>
      <w:r w:rsidR="00845872">
        <w:t xml:space="preserve">e </w:t>
      </w:r>
      <w:r w:rsidR="001E3152">
        <w:t xml:space="preserve">verificare le probabili elusioni operate dai diversi attori del mercato della telefonia e internet </w:t>
      </w:r>
      <w:r w:rsidR="00D15F7F">
        <w:t xml:space="preserve">presenti </w:t>
      </w:r>
      <w:r w:rsidR="001E3152">
        <w:t>nel nostro Paese.</w:t>
      </w:r>
      <w:r w:rsidR="00845872">
        <w:t xml:space="preserve"> </w:t>
      </w:r>
    </w:p>
    <w:p w14:paraId="3FD707E8" w14:textId="79E170B3" w:rsidR="00E10592" w:rsidRDefault="00E10592" w:rsidP="002C176E">
      <w:pPr>
        <w:jc w:val="both"/>
      </w:pPr>
      <w:r>
        <w:t>È evidente come sia necessario un nuovo e urgente intervento del Legislatore che vada a rimettere mano al comma 831 della Legge 160/2019 affinché non venga definitivamente snaturato il prelievo previsto per le occupazioni</w:t>
      </w:r>
      <w:r w:rsidR="009A3CFE">
        <w:t xml:space="preserve"> </w:t>
      </w:r>
      <w:r w:rsidR="00261ACC">
        <w:t>permanenti realizzate</w:t>
      </w:r>
      <w:r>
        <w:t xml:space="preserve"> da</w:t>
      </w:r>
      <w:r w:rsidR="009A3CFE">
        <w:t>lle società che erogano i servizi di rete.</w:t>
      </w:r>
    </w:p>
    <w:p w14:paraId="2D36097B" w14:textId="77777777" w:rsidR="002C176E" w:rsidRDefault="002C176E" w:rsidP="002C176E">
      <w:pPr>
        <w:jc w:val="both"/>
      </w:pPr>
    </w:p>
    <w:p w14:paraId="5CEC76AA" w14:textId="77777777" w:rsidR="002C176E" w:rsidRDefault="002C176E" w:rsidP="002C176E">
      <w:pPr>
        <w:jc w:val="both"/>
      </w:pPr>
    </w:p>
    <w:p w14:paraId="39F691AE" w14:textId="77777777" w:rsidR="00084727" w:rsidRDefault="00084727" w:rsidP="00B54DA3">
      <w:pPr>
        <w:jc w:val="both"/>
      </w:pPr>
    </w:p>
    <w:p w14:paraId="2A92249D" w14:textId="77777777" w:rsidR="001B5EF5" w:rsidRPr="000E1861" w:rsidRDefault="001B5EF5" w:rsidP="001B5EF5">
      <w:pPr>
        <w:jc w:val="both"/>
      </w:pPr>
    </w:p>
    <w:sectPr w:rsidR="001B5EF5" w:rsidRPr="000E18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49"/>
    <w:rsid w:val="000144E3"/>
    <w:rsid w:val="00030869"/>
    <w:rsid w:val="00057966"/>
    <w:rsid w:val="00060149"/>
    <w:rsid w:val="00084727"/>
    <w:rsid w:val="000C53EF"/>
    <w:rsid w:val="000D4CE4"/>
    <w:rsid w:val="000E1861"/>
    <w:rsid w:val="001B5EF5"/>
    <w:rsid w:val="001E3152"/>
    <w:rsid w:val="00261ACC"/>
    <w:rsid w:val="002B6871"/>
    <w:rsid w:val="002C176E"/>
    <w:rsid w:val="00354EF2"/>
    <w:rsid w:val="003652EF"/>
    <w:rsid w:val="003B5D6D"/>
    <w:rsid w:val="003E6EF3"/>
    <w:rsid w:val="003F6715"/>
    <w:rsid w:val="003F6ED5"/>
    <w:rsid w:val="00437748"/>
    <w:rsid w:val="00481ED3"/>
    <w:rsid w:val="004E7E55"/>
    <w:rsid w:val="0055319E"/>
    <w:rsid w:val="005E0194"/>
    <w:rsid w:val="006061CF"/>
    <w:rsid w:val="006132FC"/>
    <w:rsid w:val="007B1496"/>
    <w:rsid w:val="007B3788"/>
    <w:rsid w:val="007E50DE"/>
    <w:rsid w:val="00845872"/>
    <w:rsid w:val="008729E9"/>
    <w:rsid w:val="008A1DB1"/>
    <w:rsid w:val="00935B0E"/>
    <w:rsid w:val="00983754"/>
    <w:rsid w:val="009A05AD"/>
    <w:rsid w:val="009A3CFE"/>
    <w:rsid w:val="009B2F55"/>
    <w:rsid w:val="009D260B"/>
    <w:rsid w:val="00A50F45"/>
    <w:rsid w:val="00A5759C"/>
    <w:rsid w:val="00AD135D"/>
    <w:rsid w:val="00AF00A8"/>
    <w:rsid w:val="00B131BA"/>
    <w:rsid w:val="00B54DA3"/>
    <w:rsid w:val="00BA23A7"/>
    <w:rsid w:val="00BF6F83"/>
    <w:rsid w:val="00CC7CB7"/>
    <w:rsid w:val="00D07749"/>
    <w:rsid w:val="00D15F7F"/>
    <w:rsid w:val="00E10592"/>
    <w:rsid w:val="00E6703F"/>
    <w:rsid w:val="00E7086A"/>
    <w:rsid w:val="00E71C7C"/>
    <w:rsid w:val="00E76A8A"/>
    <w:rsid w:val="00ED5E07"/>
    <w:rsid w:val="00F435D1"/>
    <w:rsid w:val="00FB5280"/>
    <w:rsid w:val="00FC11C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696A"/>
  <w15:chartTrackingRefBased/>
  <w15:docId w15:val="{9EEB9B99-7C07-4FB5-94B9-EEBC33AF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07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07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0774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0774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0774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0774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0774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0774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0774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0774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0774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0774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0774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0774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0774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0774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0774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07749"/>
    <w:rPr>
      <w:rFonts w:eastAsiaTheme="majorEastAsia" w:cstheme="majorBidi"/>
      <w:color w:val="272727" w:themeColor="text1" w:themeTint="D8"/>
    </w:rPr>
  </w:style>
  <w:style w:type="paragraph" w:styleId="Titolo">
    <w:name w:val="Title"/>
    <w:basedOn w:val="Normale"/>
    <w:next w:val="Normale"/>
    <w:link w:val="TitoloCarattere"/>
    <w:uiPriority w:val="10"/>
    <w:qFormat/>
    <w:rsid w:val="00D07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0774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0774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0774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0774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07749"/>
    <w:rPr>
      <w:i/>
      <w:iCs/>
      <w:color w:val="404040" w:themeColor="text1" w:themeTint="BF"/>
    </w:rPr>
  </w:style>
  <w:style w:type="paragraph" w:styleId="Paragrafoelenco">
    <w:name w:val="List Paragraph"/>
    <w:basedOn w:val="Normale"/>
    <w:uiPriority w:val="34"/>
    <w:qFormat/>
    <w:rsid w:val="00D07749"/>
    <w:pPr>
      <w:ind w:left="720"/>
      <w:contextualSpacing/>
    </w:pPr>
  </w:style>
  <w:style w:type="character" w:styleId="Enfasiintensa">
    <w:name w:val="Intense Emphasis"/>
    <w:basedOn w:val="Carpredefinitoparagrafo"/>
    <w:uiPriority w:val="21"/>
    <w:qFormat/>
    <w:rsid w:val="00D07749"/>
    <w:rPr>
      <w:i/>
      <w:iCs/>
      <w:color w:val="2F5496" w:themeColor="accent1" w:themeShade="BF"/>
    </w:rPr>
  </w:style>
  <w:style w:type="paragraph" w:styleId="Citazioneintensa">
    <w:name w:val="Intense Quote"/>
    <w:basedOn w:val="Normale"/>
    <w:next w:val="Normale"/>
    <w:link w:val="CitazioneintensaCarattere"/>
    <w:uiPriority w:val="30"/>
    <w:qFormat/>
    <w:rsid w:val="00D07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07749"/>
    <w:rPr>
      <w:i/>
      <w:iCs/>
      <w:color w:val="2F5496" w:themeColor="accent1" w:themeShade="BF"/>
    </w:rPr>
  </w:style>
  <w:style w:type="character" w:styleId="Riferimentointenso">
    <w:name w:val="Intense Reference"/>
    <w:basedOn w:val="Carpredefinitoparagrafo"/>
    <w:uiPriority w:val="32"/>
    <w:qFormat/>
    <w:rsid w:val="00D07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2</Pages>
  <Words>860</Words>
  <Characters>4906</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20</cp:revision>
  <dcterms:created xsi:type="dcterms:W3CDTF">2025-11-05T14:09:00Z</dcterms:created>
  <dcterms:modified xsi:type="dcterms:W3CDTF">2025-11-15T11:20:00Z</dcterms:modified>
</cp:coreProperties>
</file>