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185A" w14:textId="1D4D65CE" w:rsidR="00060149" w:rsidRDefault="008451BC">
      <w:r>
        <w:t xml:space="preserve">Titolo: </w:t>
      </w:r>
      <w:r w:rsidR="00AB0832">
        <w:t>La componente pubblicitaria del CUP ha natura tributaria</w:t>
      </w:r>
    </w:p>
    <w:p w14:paraId="7B76BA7C" w14:textId="77777777" w:rsidR="003167F3" w:rsidRDefault="008451BC" w:rsidP="003167F3">
      <w:r>
        <w:t>di Alessandro Merciari</w:t>
      </w:r>
    </w:p>
    <w:p w14:paraId="6E612CBD" w14:textId="77777777" w:rsidR="00DA2EDF" w:rsidRDefault="00DA2EDF" w:rsidP="003167F3"/>
    <w:p w14:paraId="61A39363" w14:textId="6C42FAAC" w:rsidR="008451BC" w:rsidRDefault="003167F3" w:rsidP="00DA2EDF">
      <w:pPr>
        <w:jc w:val="both"/>
      </w:pPr>
      <w:proofErr w:type="gramStart"/>
      <w:r>
        <w:t>E’</w:t>
      </w:r>
      <w:proofErr w:type="gramEnd"/>
      <w:r>
        <w:t xml:space="preserve"> </w:t>
      </w:r>
      <w:r w:rsidR="008451BC">
        <w:t>stata pubblicata una interessante sentenza che riapre un affascinante dibattito sulla natura del nuovo Canone Unico introdotto dal Legislatore con il comma 816, articolo 1 Legge 160 del 2019.</w:t>
      </w:r>
    </w:p>
    <w:p w14:paraId="0D7B48EB" w14:textId="29102313" w:rsidR="008451BC" w:rsidRDefault="008451BC" w:rsidP="00476438">
      <w:pPr>
        <w:jc w:val="both"/>
      </w:pPr>
      <w:r>
        <w:t>Si tratta della s</w:t>
      </w:r>
      <w:r w:rsidRPr="008451BC">
        <w:t>entenza</w:t>
      </w:r>
      <w:r w:rsidRPr="008451BC">
        <w:t xml:space="preserve"> </w:t>
      </w:r>
      <w:r w:rsidRPr="008451BC">
        <w:t>n</w:t>
      </w:r>
      <w:r>
        <w:t>umero</w:t>
      </w:r>
      <w:r w:rsidR="003167F3">
        <w:t xml:space="preserve"> </w:t>
      </w:r>
      <w:r w:rsidRPr="008451BC">
        <w:t>38</w:t>
      </w:r>
      <w:r>
        <w:t xml:space="preserve"> </w:t>
      </w:r>
      <w:r w:rsidRPr="008451BC">
        <w:t>del</w:t>
      </w:r>
      <w:r>
        <w:t xml:space="preserve">lo scorso 2 febbraio </w:t>
      </w:r>
      <w:r w:rsidRPr="008451BC">
        <w:t>2024</w:t>
      </w:r>
      <w:r>
        <w:t xml:space="preserve"> pronunciata dalla sezione III di Trieste della </w:t>
      </w:r>
      <w:r w:rsidRPr="008451BC">
        <w:t>C</w:t>
      </w:r>
      <w:r>
        <w:t xml:space="preserve">orte di </w:t>
      </w:r>
      <w:r w:rsidRPr="008451BC">
        <w:t>G</w:t>
      </w:r>
      <w:r>
        <w:t xml:space="preserve">iustizia </w:t>
      </w:r>
      <w:r w:rsidRPr="008451BC">
        <w:t>T</w:t>
      </w:r>
      <w:r>
        <w:t xml:space="preserve">ributaria di Secondo grado del </w:t>
      </w:r>
      <w:r w:rsidRPr="008451BC">
        <w:t>Friuli</w:t>
      </w:r>
      <w:r>
        <w:t xml:space="preserve"> Venezia Giulia</w:t>
      </w:r>
      <w:r w:rsidR="00DA2EDF">
        <w:t xml:space="preserve">, che rimette in discussione la </w:t>
      </w:r>
      <w:r w:rsidR="00F83EE1">
        <w:t xml:space="preserve">natura della </w:t>
      </w:r>
      <w:r w:rsidR="00DA2EDF">
        <w:t xml:space="preserve">componente pubblicitaria del CUP, che, in continuità con i precedenti prelievi avrebbe mantenuto, al di là del </w:t>
      </w:r>
      <w:proofErr w:type="spellStart"/>
      <w:r w:rsidR="00DA2EDF" w:rsidRPr="00F83EE1">
        <w:rPr>
          <w:i/>
          <w:iCs/>
        </w:rPr>
        <w:t>nomes</w:t>
      </w:r>
      <w:proofErr w:type="spellEnd"/>
      <w:r w:rsidR="00DA2EDF" w:rsidRPr="00F83EE1">
        <w:rPr>
          <w:i/>
          <w:iCs/>
        </w:rPr>
        <w:t xml:space="preserve"> iuris</w:t>
      </w:r>
      <w:r w:rsidR="00DA2EDF">
        <w:t xml:space="preserve"> attribuito, le caratteristiche di entrata tributaria, per la mancanza del rapporto sinallagmatico tra le parti. </w:t>
      </w:r>
    </w:p>
    <w:p w14:paraId="47860444" w14:textId="190BA22D" w:rsidR="00476438" w:rsidRDefault="008451BC" w:rsidP="00476438">
      <w:pPr>
        <w:jc w:val="both"/>
        <w:rPr>
          <w:rFonts w:ascii="CenturySchoolbook" w:hAnsi="CenturySchoolbook" w:cs="CenturySchoolbook"/>
          <w:kern w:val="0"/>
        </w:rPr>
      </w:pPr>
      <w:r>
        <w:t xml:space="preserve">La vertenza </w:t>
      </w:r>
      <w:r w:rsidR="00F83EE1">
        <w:t xml:space="preserve">nello specifico </w:t>
      </w:r>
      <w:r>
        <w:t xml:space="preserve">riguardava la diffusione pubblicitaria di due cartelli posizionati in una area di servizio </w:t>
      </w:r>
      <w:r>
        <w:rPr>
          <w:rFonts w:ascii="CenturySchoolbook" w:hAnsi="CenturySchoolbook" w:cs="CenturySchoolbook"/>
          <w:kern w:val="0"/>
        </w:rPr>
        <w:t>lungo l'autostrada A/23</w:t>
      </w:r>
      <w:r>
        <w:rPr>
          <w:rFonts w:ascii="CenturySchoolbook" w:hAnsi="CenturySchoolbook" w:cs="CenturySchoolbook"/>
          <w:kern w:val="0"/>
        </w:rPr>
        <w:t xml:space="preserve"> Udine Tarvisio. Nel merito veniva contestato </w:t>
      </w:r>
      <w:r>
        <w:rPr>
          <w:rFonts w:ascii="CenturySchoolbook" w:hAnsi="CenturySchoolbook" w:cs="CenturySchoolbook"/>
          <w:kern w:val="0"/>
        </w:rPr>
        <w:t>d</w:t>
      </w:r>
      <w:r>
        <w:rPr>
          <w:rFonts w:ascii="CenturySchoolbook" w:hAnsi="CenturySchoolbook" w:cs="CenturySchoolbook"/>
          <w:kern w:val="0"/>
        </w:rPr>
        <w:t>a</w:t>
      </w:r>
      <w:r>
        <w:rPr>
          <w:rFonts w:ascii="CenturySchoolbook" w:hAnsi="CenturySchoolbook" w:cs="CenturySchoolbook"/>
          <w:kern w:val="0"/>
        </w:rPr>
        <w:t>lla società ricorrente</w:t>
      </w:r>
      <w:r>
        <w:rPr>
          <w:rFonts w:ascii="CenturySchoolbook" w:hAnsi="CenturySchoolbook" w:cs="CenturySchoolbook"/>
          <w:kern w:val="0"/>
        </w:rPr>
        <w:t xml:space="preserve"> il formarsi del presupposto pubblicitario in quanto i mezzi esposti sarebbero </w:t>
      </w:r>
      <w:r w:rsidR="00476438">
        <w:rPr>
          <w:rFonts w:ascii="CenturySchoolbook" w:hAnsi="CenturySchoolbook" w:cs="CenturySchoolbook"/>
          <w:kern w:val="0"/>
        </w:rPr>
        <w:t>privi di finalità commerciale e installati al solo fine di valorizzare e promuovere il territorio.</w:t>
      </w:r>
    </w:p>
    <w:p w14:paraId="1EAF1CD2" w14:textId="566CCB8F" w:rsidR="00476438" w:rsidRDefault="00476438" w:rsidP="00476438">
      <w:pPr>
        <w:jc w:val="both"/>
        <w:rPr>
          <w:rFonts w:ascii="CenturySchoolbook" w:hAnsi="CenturySchoolbook" w:cs="CenturySchoolbook"/>
          <w:kern w:val="0"/>
        </w:rPr>
      </w:pPr>
      <w:r>
        <w:rPr>
          <w:rFonts w:ascii="CenturySchoolbook" w:hAnsi="CenturySchoolbook" w:cs="CenturySchoolbook"/>
          <w:kern w:val="0"/>
        </w:rPr>
        <w:t xml:space="preserve">Con l’odierno approfondimento, non scriveremo sulla bontà della richiesta di pagamento del CUP, anche se sarebbe </w:t>
      </w:r>
      <w:r w:rsidR="003167F3">
        <w:rPr>
          <w:rFonts w:ascii="CenturySchoolbook" w:hAnsi="CenturySchoolbook" w:cs="CenturySchoolbook"/>
          <w:kern w:val="0"/>
        </w:rPr>
        <w:t xml:space="preserve">stato </w:t>
      </w:r>
      <w:r w:rsidR="00F83EE1">
        <w:rPr>
          <w:rFonts w:ascii="CenturySchoolbook" w:hAnsi="CenturySchoolbook" w:cs="CenturySchoolbook"/>
          <w:kern w:val="0"/>
        </w:rPr>
        <w:t xml:space="preserve">un tema </w:t>
      </w:r>
      <w:r>
        <w:rPr>
          <w:rFonts w:ascii="CenturySchoolbook" w:hAnsi="CenturySchoolbook" w:cs="CenturySchoolbook"/>
          <w:kern w:val="0"/>
        </w:rPr>
        <w:t xml:space="preserve">interessante </w:t>
      </w:r>
      <w:r w:rsidR="00F83EE1">
        <w:rPr>
          <w:rFonts w:ascii="CenturySchoolbook" w:hAnsi="CenturySchoolbook" w:cs="CenturySchoolbook"/>
          <w:kern w:val="0"/>
        </w:rPr>
        <w:t xml:space="preserve">da </w:t>
      </w:r>
      <w:r>
        <w:rPr>
          <w:rFonts w:ascii="CenturySchoolbook" w:hAnsi="CenturySchoolbook" w:cs="CenturySchoolbook"/>
          <w:kern w:val="0"/>
        </w:rPr>
        <w:t>approfondire, visto che i due cartelli, ancorché finalizzati a promuovere il territorio, hanno una valenza economica</w:t>
      </w:r>
      <w:r w:rsidR="00F83EE1">
        <w:rPr>
          <w:rFonts w:ascii="CenturySchoolbook" w:hAnsi="CenturySchoolbook" w:cs="CenturySchoolbook"/>
          <w:kern w:val="0"/>
        </w:rPr>
        <w:t xml:space="preserve"> per</w:t>
      </w:r>
      <w:r>
        <w:rPr>
          <w:rFonts w:ascii="CenturySchoolbook" w:hAnsi="CenturySchoolbook" w:cs="CenturySchoolbook"/>
          <w:kern w:val="0"/>
        </w:rPr>
        <w:t xml:space="preserve"> lo sfruttamento dello spazio espositivo </w:t>
      </w:r>
      <w:r w:rsidR="00F83EE1">
        <w:rPr>
          <w:rFonts w:ascii="CenturySchoolbook" w:hAnsi="CenturySchoolbook" w:cs="CenturySchoolbook"/>
          <w:kern w:val="0"/>
        </w:rPr>
        <w:t xml:space="preserve">che di per </w:t>
      </w:r>
      <w:proofErr w:type="gramStart"/>
      <w:r w:rsidR="00F83EE1">
        <w:rPr>
          <w:rFonts w:ascii="CenturySchoolbook" w:hAnsi="CenturySchoolbook" w:cs="CenturySchoolbook"/>
          <w:kern w:val="0"/>
        </w:rPr>
        <w:t>se</w:t>
      </w:r>
      <w:proofErr w:type="gramEnd"/>
      <w:r w:rsidR="00F83EE1"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costituisce presupposto applicativo da porre a carico della società che offre e vende il servizio. Valuteremo invece quanto i giudici regionali hanno scritto in merito al presunto difetto di giurisdizione.</w:t>
      </w:r>
    </w:p>
    <w:p w14:paraId="45DEACF2" w14:textId="432CF9DC" w:rsidR="00476438" w:rsidRDefault="00476438" w:rsidP="00476438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  <w:r>
        <w:rPr>
          <w:rFonts w:ascii="CenturySchoolbook" w:hAnsi="CenturySchoolbook" w:cs="CenturySchoolbook"/>
          <w:kern w:val="0"/>
        </w:rPr>
        <w:t xml:space="preserve">La Corte di primo grado di Udine </w:t>
      </w:r>
      <w:r w:rsidR="003167F3">
        <w:rPr>
          <w:rFonts w:ascii="CenturySchoolbook" w:hAnsi="CenturySchoolbook" w:cs="CenturySchoolbook"/>
          <w:kern w:val="0"/>
        </w:rPr>
        <w:t xml:space="preserve">aveva </w:t>
      </w:r>
      <w:r w:rsidR="00F83EE1">
        <w:rPr>
          <w:rFonts w:ascii="CenturySchoolbook" w:hAnsi="CenturySchoolbook" w:cs="CenturySchoolbook"/>
          <w:kern w:val="0"/>
        </w:rPr>
        <w:t xml:space="preserve">infatti </w:t>
      </w:r>
      <w:r>
        <w:rPr>
          <w:rFonts w:ascii="CenturySchoolbook" w:hAnsi="CenturySchoolbook" w:cs="CenturySchoolbook"/>
          <w:kern w:val="0"/>
        </w:rPr>
        <w:t>dichiara</w:t>
      </w:r>
      <w:r w:rsidR="003167F3">
        <w:rPr>
          <w:rFonts w:ascii="CenturySchoolbook" w:hAnsi="CenturySchoolbook" w:cs="CenturySchoolbook"/>
          <w:kern w:val="0"/>
        </w:rPr>
        <w:t>to</w:t>
      </w:r>
      <w:r>
        <w:rPr>
          <w:rFonts w:ascii="CenturySchoolbook" w:hAnsi="CenturySchoolbook" w:cs="CenturySchoolbook"/>
          <w:kern w:val="0"/>
        </w:rPr>
        <w:t xml:space="preserve"> l'inammissibilità del ricorso per propria carenza di giurisdizione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sussistendo la giurisdizione del giudice ordinario</w:t>
      </w:r>
      <w:r>
        <w:rPr>
          <w:rFonts w:ascii="CenturySchoolbook" w:hAnsi="CenturySchoolbook" w:cs="CenturySchoolbook"/>
          <w:kern w:val="0"/>
        </w:rPr>
        <w:t xml:space="preserve">. I giudici avevano </w:t>
      </w:r>
      <w:r>
        <w:rPr>
          <w:rFonts w:ascii="CenturySchoolbook" w:hAnsi="CenturySchoolbook" w:cs="CenturySchoolbook"/>
          <w:kern w:val="0"/>
        </w:rPr>
        <w:t>ritenuto che con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l'introduzione della L. n. 160 del 2019 il</w:t>
      </w:r>
      <w:r>
        <w:rPr>
          <w:rFonts w:ascii="CenturySchoolbook" w:hAnsi="CenturySchoolbook" w:cs="CenturySchoolbook"/>
          <w:kern w:val="0"/>
        </w:rPr>
        <w:t xml:space="preserve"> L</w:t>
      </w:r>
      <w:r>
        <w:rPr>
          <w:rFonts w:ascii="CenturySchoolbook" w:hAnsi="CenturySchoolbook" w:cs="CenturySchoolbook"/>
          <w:kern w:val="0"/>
        </w:rPr>
        <w:t xml:space="preserve">egislatore </w:t>
      </w:r>
      <w:r>
        <w:rPr>
          <w:rFonts w:ascii="CenturySchoolbook" w:hAnsi="CenturySchoolbook" w:cs="CenturySchoolbook"/>
          <w:kern w:val="0"/>
        </w:rPr>
        <w:t>avesse</w:t>
      </w:r>
      <w:r>
        <w:rPr>
          <w:rFonts w:ascii="CenturySchoolbook" w:hAnsi="CenturySchoolbook" w:cs="CenturySchoolbook"/>
          <w:kern w:val="0"/>
        </w:rPr>
        <w:t xml:space="preserve"> abbondato la configurazione tributaria del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 xml:space="preserve">prelievo di </w:t>
      </w:r>
      <w:r>
        <w:rPr>
          <w:rFonts w:ascii="CenturySchoolbook" w:hAnsi="CenturySchoolbook" w:cs="CenturySchoolbook"/>
          <w:kern w:val="0"/>
        </w:rPr>
        <w:t>talché</w:t>
      </w:r>
      <w:r>
        <w:rPr>
          <w:rFonts w:ascii="CenturySchoolbook" w:hAnsi="CenturySchoolbook" w:cs="CenturySchoolbook"/>
          <w:kern w:val="0"/>
        </w:rPr>
        <w:t xml:space="preserve"> il nuovo canone</w:t>
      </w:r>
      <w:r>
        <w:rPr>
          <w:rFonts w:ascii="CenturySchoolbook" w:hAnsi="CenturySchoolbook" w:cs="CenturySchoolbook"/>
          <w:kern w:val="0"/>
        </w:rPr>
        <w:t xml:space="preserve"> fosse </w:t>
      </w:r>
      <w:r>
        <w:rPr>
          <w:rFonts w:ascii="CenturySchoolbook" w:hAnsi="CenturySchoolbook" w:cs="CenturySchoolbook"/>
          <w:kern w:val="0"/>
        </w:rPr>
        <w:t>modellato come un'entrata patrimoniale, sostitutiva sia di canoni e tributi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inerenti a occupazione di suolo pubblico ed esposizione pubblicitaria, sia di qualunque altro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canone concessorio.</w:t>
      </w:r>
    </w:p>
    <w:p w14:paraId="6C783FC5" w14:textId="77777777" w:rsidR="007122A7" w:rsidRDefault="007122A7" w:rsidP="00476438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1A7F4B72" w14:textId="57877671" w:rsidR="003167F3" w:rsidRDefault="003167F3" w:rsidP="007122A7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  <w:r>
        <w:rPr>
          <w:rFonts w:ascii="CenturySchoolbook" w:hAnsi="CenturySchoolbook" w:cs="CenturySchoolbook"/>
          <w:kern w:val="0"/>
        </w:rPr>
        <w:t xml:space="preserve">Sentenza appellata rilevando la particolare natura del CUP per la sua componente pubblicitaria intervenuta in sostituzione dell’imposta comunale sulla pubblicità e dell’alternativo canone CIMP, entrambe di natura tributaria.  </w:t>
      </w:r>
    </w:p>
    <w:p w14:paraId="37B7E863" w14:textId="315032DB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CenturySchoolbook" w:hAnsi="CenturySchoolbook" w:cs="CenturySchoolbook"/>
          <w:kern w:val="0"/>
        </w:rPr>
        <w:t>In questo senso l’appellante ritiene che Il</w:t>
      </w:r>
      <w:r>
        <w:rPr>
          <w:rFonts w:ascii="CenturySchoolbook" w:hAnsi="CenturySchoolbook" w:cs="CenturySchoolbook"/>
          <w:kern w:val="0"/>
        </w:rPr>
        <w:t xml:space="preserve"> CUP si po</w:t>
      </w:r>
      <w:r>
        <w:rPr>
          <w:rFonts w:ascii="CenturySchoolbook" w:hAnsi="CenturySchoolbook" w:cs="CenturySchoolbook"/>
          <w:kern w:val="0"/>
        </w:rPr>
        <w:t>nga</w:t>
      </w:r>
      <w:r>
        <w:rPr>
          <w:rFonts w:ascii="CenturySchoolbook" w:hAnsi="CenturySchoolbook" w:cs="CenturySchoolbook"/>
          <w:kern w:val="0"/>
        </w:rPr>
        <w:t xml:space="preserve"> in netta continuità con una genesi di </w:t>
      </w:r>
      <w:r w:rsidR="00F83EE1">
        <w:rPr>
          <w:rFonts w:ascii="CenturySchoolbook" w:hAnsi="CenturySchoolbook" w:cs="CenturySchoolbook"/>
          <w:kern w:val="0"/>
        </w:rPr>
        <w:t>disposizioni normative</w:t>
      </w:r>
      <w:r>
        <w:rPr>
          <w:rFonts w:ascii="CenturySchoolbook" w:hAnsi="CenturySchoolbook" w:cs="CenturySchoolbook"/>
          <w:kern w:val="0"/>
        </w:rPr>
        <w:t xml:space="preserve"> che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disciplinano prelievi di natura marcatamente tributaria, indipendentemente dal nome ad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esso attribuito</w:t>
      </w:r>
      <w:r>
        <w:rPr>
          <w:rFonts w:ascii="CenturySchoolbook" w:hAnsi="CenturySchoolbook" w:cs="CenturySchoolbook"/>
          <w:kern w:val="0"/>
        </w:rPr>
        <w:t xml:space="preserve">. Sottolineando che nessuno di questi prelievi, </w:t>
      </w:r>
      <w:r w:rsidR="00F83EE1">
        <w:rPr>
          <w:rFonts w:ascii="CenturySchoolbook" w:hAnsi="CenturySchoolbook" w:cs="CenturySchoolbook"/>
          <w:kern w:val="0"/>
        </w:rPr>
        <w:t>l’</w:t>
      </w:r>
      <w:r>
        <w:rPr>
          <w:rFonts w:ascii="CenturySchoolbook" w:hAnsi="CenturySchoolbook" w:cs="CenturySchoolbook"/>
          <w:kern w:val="0"/>
        </w:rPr>
        <w:t xml:space="preserve">odierno CUP così come i precedenti ICP e CIMP, </w:t>
      </w:r>
      <w:r>
        <w:rPr>
          <w:rFonts w:ascii="CenturySchoolbook" w:hAnsi="CenturySchoolbook" w:cs="CenturySchoolbook"/>
          <w:kern w:val="0"/>
        </w:rPr>
        <w:t>possono essere qualificati come controprestazione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dell'uso di aree pubbliche</w:t>
      </w:r>
      <w:r>
        <w:rPr>
          <w:rFonts w:ascii="CenturySchoolbook" w:hAnsi="CenturySchoolbook" w:cs="CenturySchoolbook"/>
          <w:kern w:val="0"/>
        </w:rPr>
        <w:t xml:space="preserve">. </w:t>
      </w:r>
      <w:r w:rsidR="00F83EE1">
        <w:rPr>
          <w:rFonts w:ascii="CenturySchoolbook" w:hAnsi="CenturySchoolbook" w:cs="CenturySchoolbook"/>
          <w:kern w:val="0"/>
        </w:rPr>
        <w:t>N</w:t>
      </w:r>
      <w:r>
        <w:rPr>
          <w:rFonts w:ascii="CenturySchoolbook" w:hAnsi="CenturySchoolbook" w:cs="CenturySchoolbook"/>
          <w:kern w:val="0"/>
        </w:rPr>
        <w:t xml:space="preserve">on </w:t>
      </w:r>
      <w:r>
        <w:rPr>
          <w:rFonts w:ascii="CenturySchoolbook" w:hAnsi="CenturySchoolbook" w:cs="CenturySchoolbook"/>
          <w:kern w:val="0"/>
        </w:rPr>
        <w:t>sarebbero infatti determinati</w:t>
      </w:r>
      <w:r>
        <w:rPr>
          <w:rFonts w:ascii="CenturySchoolbook" w:hAnsi="CenturySchoolbook" w:cs="CenturySchoolbook"/>
          <w:kern w:val="0"/>
        </w:rPr>
        <w:t xml:space="preserve"> in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funzione del criterio della copertura del costo di un eventuale servizio prestato dal comune</w:t>
      </w:r>
      <w:r w:rsidR="00F83EE1"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 xml:space="preserve">e quindi non vi </w:t>
      </w:r>
      <w:r>
        <w:rPr>
          <w:rFonts w:ascii="CenturySchoolbook" w:hAnsi="CenturySchoolbook" w:cs="CenturySchoolbook"/>
          <w:kern w:val="0"/>
        </w:rPr>
        <w:t>sarebbe</w:t>
      </w:r>
      <w:r>
        <w:rPr>
          <w:rFonts w:ascii="CenturySchoolbook" w:hAnsi="CenturySchoolbook" w:cs="CenturySchoolbook"/>
          <w:kern w:val="0"/>
        </w:rPr>
        <w:t xml:space="preserve"> un rapporto di corrispettività contrattuale</w:t>
      </w:r>
      <w:r>
        <w:rPr>
          <w:rFonts w:ascii="CenturySchoolbook" w:hAnsi="CenturySchoolbook" w:cs="CenturySchoolbook"/>
          <w:kern w:val="0"/>
        </w:rPr>
        <w:t xml:space="preserve">, ma solo </w:t>
      </w:r>
      <w:r w:rsidR="00F83EE1">
        <w:rPr>
          <w:rFonts w:ascii="CenturySchoolbook" w:hAnsi="CenturySchoolbook" w:cs="CenturySchoolbook"/>
          <w:kern w:val="0"/>
        </w:rPr>
        <w:t>la connessione</w:t>
      </w:r>
      <w:r>
        <w:rPr>
          <w:rFonts w:ascii="CenturySchoolbook" w:hAnsi="CenturySchoolbook" w:cs="CenturySchoolbook"/>
          <w:kern w:val="0"/>
        </w:rPr>
        <w:t xml:space="preserve"> ad un regime</w:t>
      </w:r>
      <w:r>
        <w:rPr>
          <w:rFonts w:ascii="CenturySchoolbook" w:hAnsi="CenturySchoolbook" w:cs="CenturySchoolbook"/>
          <w:kern w:val="0"/>
        </w:rPr>
        <w:t xml:space="preserve"> </w:t>
      </w:r>
      <w:r>
        <w:rPr>
          <w:rFonts w:ascii="CenturySchoolbook" w:hAnsi="CenturySchoolbook" w:cs="CenturySchoolbook"/>
          <w:kern w:val="0"/>
        </w:rPr>
        <w:t>autorizzatorio.</w:t>
      </w:r>
    </w:p>
    <w:p w14:paraId="00AF61C7" w14:textId="77777777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</w:pPr>
    </w:p>
    <w:p w14:paraId="2DDE6367" w14:textId="3DCFB22E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b/>
          <w:bCs/>
          <w:i/>
          <w:iCs/>
          <w:kern w:val="0"/>
        </w:rPr>
      </w:pPr>
      <w:r>
        <w:t>I giudici della Corte Regionale sorprendentemente</w:t>
      </w:r>
      <w:r w:rsidR="00B052CA">
        <w:t xml:space="preserve"> accolgono </w:t>
      </w:r>
      <w:proofErr w:type="gramStart"/>
      <w:r w:rsidR="00B052CA">
        <w:t>le doglienza</w:t>
      </w:r>
      <w:proofErr w:type="gramEnd"/>
      <w:r w:rsidR="00B052CA">
        <w:t xml:space="preserve"> dell’appellante e</w:t>
      </w:r>
      <w:r>
        <w:t xml:space="preserve"> annullano la decisione di primo grado, </w:t>
      </w:r>
      <w:r>
        <w:rPr>
          <w:rFonts w:ascii="CenturySchoolbook" w:hAnsi="CenturySchoolbook" w:cs="CenturySchoolbook"/>
          <w:kern w:val="0"/>
        </w:rPr>
        <w:t>dissentendo dal giudice di pri</w:t>
      </w:r>
      <w:r w:rsidR="00B052CA">
        <w:rPr>
          <w:rFonts w:ascii="CenturySchoolbook" w:hAnsi="CenturySchoolbook" w:cs="CenturySchoolbook"/>
          <w:kern w:val="0"/>
        </w:rPr>
        <w:t>me cure</w:t>
      </w:r>
      <w:r>
        <w:rPr>
          <w:rFonts w:ascii="CenturySchoolbook" w:hAnsi="CenturySchoolbook" w:cs="CenturySchoolbook"/>
          <w:kern w:val="0"/>
        </w:rPr>
        <w:t xml:space="preserve">. Nei motivi della decisione si legge: 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“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si concorda con quanto asserito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dall'appellante, per cui l'attuale canone, seppure novellato, si pone in netta continuità con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la normativa che precedentemente disciplinava le imposte in questione e la cui natura senza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alcun dubbia era ed è tributaria.</w:t>
      </w:r>
      <w:r w:rsidRPr="007122A7">
        <w:rPr>
          <w:rFonts w:ascii="CenturySchoolbook" w:hAnsi="CenturySchoolbook" w:cs="CenturySchoolbook"/>
          <w:b/>
          <w:bCs/>
          <w:i/>
          <w:iCs/>
          <w:kern w:val="0"/>
        </w:rPr>
        <w:t>”</w:t>
      </w:r>
    </w:p>
    <w:p w14:paraId="1B599CAB" w14:textId="77777777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b/>
          <w:bCs/>
          <w:i/>
          <w:iCs/>
          <w:kern w:val="0"/>
        </w:rPr>
      </w:pPr>
    </w:p>
    <w:p w14:paraId="2FF1AAD9" w14:textId="3ACA027A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  <w:r w:rsidRPr="007122A7">
        <w:rPr>
          <w:rFonts w:ascii="CenturySchoolbook" w:hAnsi="CenturySchoolbook" w:cs="CenturySchoolbook"/>
          <w:kern w:val="0"/>
        </w:rPr>
        <w:t>La sentenza continua: “</w:t>
      </w:r>
      <w:r w:rsidRPr="007122A7">
        <w:rPr>
          <w:rFonts w:ascii="CenturySchoolbook" w:hAnsi="CenturySchoolbook" w:cs="CenturySchoolbook"/>
          <w:i/>
          <w:iCs/>
          <w:kern w:val="0"/>
        </w:rPr>
        <w:t>Tale assunto porta con sé l'affermazione della piena giurisdizione del giudice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>tributario dei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>ricorsi avverso i provvedimenti impositivi degli enti locali interessati, mentre alla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>giurisdizione del giudice ordinario spettano le controversie relative al canone per la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concessione di spazi ed aree per l'installazione di </w:t>
      </w:r>
      <w:r w:rsidRPr="007122A7">
        <w:rPr>
          <w:rFonts w:ascii="CenturySchoolbook" w:hAnsi="CenturySchoolbook" w:cs="CenturySchoolbook"/>
          <w:i/>
          <w:iCs/>
          <w:kern w:val="0"/>
        </w:rPr>
        <w:lastRenderedPageBreak/>
        <w:t>impianti pubblicitari. Infatti, l'eccezione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>utilizzata dal legislatore canone "patrimoniale", non ha alcun rilievo, al riguardo, occorrendo</w:t>
      </w:r>
      <w:r w:rsidRPr="007122A7">
        <w:rPr>
          <w:rFonts w:ascii="CenturySchoolbook" w:hAnsi="CenturySchoolbook" w:cs="CenturySchoolbook"/>
          <w:i/>
          <w:iCs/>
          <w:kern w:val="0"/>
        </w:rPr>
        <w:t xml:space="preserve"> </w:t>
      </w:r>
      <w:r w:rsidRPr="007122A7">
        <w:rPr>
          <w:rFonts w:ascii="CenturySchoolbook" w:hAnsi="CenturySchoolbook" w:cs="CenturySchoolbook"/>
          <w:i/>
          <w:iCs/>
          <w:kern w:val="0"/>
        </w:rPr>
        <w:t>riscontrare in concreto e caso per caso se si sia o non in presenza di un tributo</w:t>
      </w:r>
      <w:r w:rsidRPr="007122A7">
        <w:rPr>
          <w:rFonts w:ascii="CenturySchoolbook" w:hAnsi="CenturySchoolbook" w:cs="CenturySchoolbook"/>
          <w:kern w:val="0"/>
        </w:rPr>
        <w:t>.</w:t>
      </w:r>
      <w:r w:rsidRPr="007122A7">
        <w:rPr>
          <w:rFonts w:ascii="CenturySchoolbook" w:hAnsi="CenturySchoolbook" w:cs="CenturySchoolbook"/>
          <w:kern w:val="0"/>
        </w:rPr>
        <w:t>”</w:t>
      </w:r>
    </w:p>
    <w:p w14:paraId="5BBDE282" w14:textId="77777777" w:rsidR="007122A7" w:rsidRDefault="007122A7" w:rsidP="007122A7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1671F592" w14:textId="77777777" w:rsidR="00DA2EDF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  <w:r>
        <w:rPr>
          <w:rFonts w:ascii="CenturySchoolbook" w:hAnsi="CenturySchoolbook" w:cs="CenturySchoolbook"/>
          <w:kern w:val="0"/>
        </w:rPr>
        <w:t xml:space="preserve">Per i </w:t>
      </w:r>
      <w:r w:rsidR="007122A7">
        <w:rPr>
          <w:rFonts w:ascii="CenturySchoolbook" w:hAnsi="CenturySchoolbook" w:cs="CenturySchoolbook"/>
          <w:kern w:val="0"/>
        </w:rPr>
        <w:t xml:space="preserve">Giudici di Trieste </w:t>
      </w:r>
      <w:r>
        <w:rPr>
          <w:rFonts w:ascii="CenturySchoolbook" w:hAnsi="CenturySchoolbook" w:cs="CenturySchoolbook"/>
          <w:kern w:val="0"/>
        </w:rPr>
        <w:t xml:space="preserve">non vi è nessun dubbio sulla natura tributaria del canone, </w:t>
      </w:r>
      <w:r w:rsidR="007122A7">
        <w:rPr>
          <w:rFonts w:ascii="CenturySchoolbook" w:hAnsi="CenturySchoolbook" w:cs="CenturySchoolbook"/>
          <w:kern w:val="0"/>
        </w:rPr>
        <w:t>afferma</w:t>
      </w:r>
      <w:r w:rsidR="007122A7">
        <w:rPr>
          <w:rFonts w:ascii="CenturySchoolbook" w:hAnsi="CenturySchoolbook" w:cs="CenturySchoolbook"/>
          <w:kern w:val="0"/>
        </w:rPr>
        <w:t>n</w:t>
      </w:r>
      <w:r>
        <w:rPr>
          <w:rFonts w:ascii="CenturySchoolbook" w:hAnsi="CenturySchoolbook" w:cs="CenturySchoolbook"/>
          <w:kern w:val="0"/>
        </w:rPr>
        <w:t>d</w:t>
      </w:r>
      <w:r w:rsidR="007122A7">
        <w:rPr>
          <w:rFonts w:ascii="CenturySchoolbook" w:hAnsi="CenturySchoolbook" w:cs="CenturySchoolbook"/>
          <w:kern w:val="0"/>
        </w:rPr>
        <w:t>o</w:t>
      </w:r>
      <w:r w:rsidR="007122A7">
        <w:rPr>
          <w:rFonts w:ascii="CenturySchoolbook" w:hAnsi="CenturySchoolbook" w:cs="CenturySchoolbook"/>
          <w:kern w:val="0"/>
        </w:rPr>
        <w:t xml:space="preserve"> la continuità tra la precedente e l'attuale normativa che disciplina</w:t>
      </w:r>
      <w:r w:rsidR="007122A7">
        <w:rPr>
          <w:rFonts w:ascii="CenturySchoolbook" w:hAnsi="CenturySchoolbook" w:cs="CenturySchoolbook"/>
          <w:kern w:val="0"/>
        </w:rPr>
        <w:t xml:space="preserve"> </w:t>
      </w:r>
      <w:r w:rsidR="007122A7">
        <w:rPr>
          <w:rFonts w:ascii="CenturySchoolbook" w:hAnsi="CenturySchoolbook" w:cs="CenturySchoolbook"/>
          <w:kern w:val="0"/>
        </w:rPr>
        <w:t>la materia</w:t>
      </w:r>
      <w:r>
        <w:rPr>
          <w:rFonts w:ascii="CenturySchoolbook" w:hAnsi="CenturySchoolbook" w:cs="CenturySchoolbook"/>
          <w:kern w:val="0"/>
        </w:rPr>
        <w:t xml:space="preserve">. </w:t>
      </w:r>
    </w:p>
    <w:p w14:paraId="1B5F0E31" w14:textId="1253084C" w:rsidR="007122A7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  <w:r>
        <w:rPr>
          <w:rFonts w:ascii="CenturySchoolbook" w:hAnsi="CenturySchoolbook" w:cs="CenturySchoolbook"/>
          <w:kern w:val="0"/>
        </w:rPr>
        <w:t>Nella sentenza si legge: “</w:t>
      </w:r>
      <w:r w:rsidRPr="00DA2EDF">
        <w:rPr>
          <w:rFonts w:ascii="CenturySchoolbook" w:hAnsi="CenturySchoolbook" w:cs="CenturySchoolbook"/>
          <w:b/>
          <w:bCs/>
          <w:kern w:val="0"/>
        </w:rPr>
        <w:t>I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>l canone in questione costituisce, seppure con un diverso nome giuridico, un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 xml:space="preserve"> 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>prelievo della stessa natura dell'imposta come disciplinata in precedenza, presentando tutte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 xml:space="preserve"> 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>le caratteristiche del tributo e ciò a</w:t>
      </w:r>
      <w:r w:rsidRPr="00DA2EDF">
        <w:rPr>
          <w:rFonts w:ascii="CenturySchoolbook" w:hAnsi="CenturySchoolbook" w:cs="CenturySchoolbook"/>
          <w:b/>
          <w:bCs/>
          <w:kern w:val="0"/>
        </w:rPr>
        <w:t xml:space="preserve"> </w:t>
      </w:r>
      <w:r w:rsidR="007122A7" w:rsidRPr="00DA2EDF">
        <w:rPr>
          <w:rFonts w:ascii="CenturySchoolbook" w:hAnsi="CenturySchoolbook" w:cs="CenturySchoolbook"/>
          <w:b/>
          <w:bCs/>
          <w:kern w:val="0"/>
        </w:rPr>
        <w:t>prescindere dalla denominazione usata dal legislatore</w:t>
      </w:r>
      <w:r>
        <w:rPr>
          <w:rFonts w:ascii="CenturySchoolbook" w:hAnsi="CenturySchoolbook" w:cs="CenturySchoolbook"/>
          <w:kern w:val="0"/>
        </w:rPr>
        <w:t>…”</w:t>
      </w:r>
    </w:p>
    <w:p w14:paraId="0BF61B49" w14:textId="77777777" w:rsidR="00B052CA" w:rsidRDefault="00B052CA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43E74E33" w14:textId="77777777" w:rsidR="00B052CA" w:rsidRDefault="00B052CA" w:rsidP="00B052CA">
      <w:pPr>
        <w:jc w:val="both"/>
      </w:pPr>
      <w:r>
        <w:rPr>
          <w:rFonts w:ascii="CenturySchoolbook" w:hAnsi="CenturySchoolbook" w:cs="CenturySchoolbook"/>
          <w:kern w:val="0"/>
        </w:rPr>
        <w:t>In definitiva, mentre i</w:t>
      </w:r>
      <w:r>
        <w:t xml:space="preserve">l canone per la componente di occupazione di spazi pubblici, è concepito come un quid ontologicamente diverso dalle entrate </w:t>
      </w:r>
      <w:r>
        <w:t>tributarie, e</w:t>
      </w:r>
      <w:r>
        <w:t xml:space="preserve"> rappresenta "il corrispettivo di una concessione reale o presunta</w:t>
      </w:r>
      <w:r>
        <w:t xml:space="preserve">, per le diffusioni pubblicitarie si deve pensare al prelievo come </w:t>
      </w:r>
      <w:proofErr w:type="gramStart"/>
      <w:r>
        <w:t>un entrata</w:t>
      </w:r>
      <w:proofErr w:type="gramEnd"/>
      <w:r>
        <w:t xml:space="preserve"> di natura tributaria e conseguentemente di competenza delle Corti di Giustizia Tributaria.</w:t>
      </w:r>
    </w:p>
    <w:p w14:paraId="48A84EF8" w14:textId="09029A54" w:rsidR="00B052CA" w:rsidRDefault="00B052CA" w:rsidP="00B052CA">
      <w:pPr>
        <w:jc w:val="both"/>
      </w:pPr>
      <w:r>
        <w:t xml:space="preserve"> </w:t>
      </w:r>
    </w:p>
    <w:p w14:paraId="31EE7DBF" w14:textId="7BEA53B6" w:rsidR="00B052CA" w:rsidRDefault="00B052CA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29248B09" w14:textId="77777777" w:rsidR="00DA2EDF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04FC91CD" w14:textId="77777777" w:rsidR="00DA2EDF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00D9F11A" w14:textId="77777777" w:rsidR="00DA2EDF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p w14:paraId="491D3189" w14:textId="77777777" w:rsidR="00DA2EDF" w:rsidRPr="007122A7" w:rsidRDefault="00DA2EDF" w:rsidP="00DA2EDF">
      <w:pPr>
        <w:autoSpaceDE w:val="0"/>
        <w:autoSpaceDN w:val="0"/>
        <w:adjustRightInd w:val="0"/>
        <w:spacing w:after="0" w:line="240" w:lineRule="auto"/>
        <w:jc w:val="both"/>
        <w:rPr>
          <w:rFonts w:ascii="CenturySchoolbook" w:hAnsi="CenturySchoolbook" w:cs="CenturySchoolbook"/>
          <w:kern w:val="0"/>
        </w:rPr>
      </w:pPr>
    </w:p>
    <w:sectPr w:rsidR="00DA2EDF" w:rsidRPr="007122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School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50"/>
    <w:rsid w:val="00060149"/>
    <w:rsid w:val="001A2F50"/>
    <w:rsid w:val="003167F3"/>
    <w:rsid w:val="00476438"/>
    <w:rsid w:val="007122A7"/>
    <w:rsid w:val="008451BC"/>
    <w:rsid w:val="00AB0832"/>
    <w:rsid w:val="00B052CA"/>
    <w:rsid w:val="00DA2EDF"/>
    <w:rsid w:val="00F8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FDAE7"/>
  <w15:chartTrackingRefBased/>
  <w15:docId w15:val="{D00BF900-3579-4B28-A0C9-6AF6ED7F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5</cp:revision>
  <dcterms:created xsi:type="dcterms:W3CDTF">2024-04-26T08:58:00Z</dcterms:created>
  <dcterms:modified xsi:type="dcterms:W3CDTF">2024-04-26T10:08:00Z</dcterms:modified>
</cp:coreProperties>
</file>