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D2D6FB" w14:textId="60341123" w:rsidR="006672EA" w:rsidRDefault="00936B9F">
      <w:r>
        <w:t>Titolo: La Corte dei Conti interviene sulle esenzioni CUP</w:t>
      </w:r>
    </w:p>
    <w:p w14:paraId="4A53F781" w14:textId="799A96D3" w:rsidR="00936B9F" w:rsidRDefault="00936B9F">
      <w:r>
        <w:t>Di Alessandro Merciari</w:t>
      </w:r>
    </w:p>
    <w:p w14:paraId="1EE67007" w14:textId="77777777" w:rsidR="00936B9F" w:rsidRDefault="00936B9F"/>
    <w:p w14:paraId="724626A4" w14:textId="440A0111" w:rsidR="00936B9F" w:rsidRDefault="00936B9F" w:rsidP="00936B9F">
      <w:pPr>
        <w:jc w:val="both"/>
        <w:rPr>
          <w:sz w:val="20"/>
          <w:szCs w:val="20"/>
        </w:rPr>
      </w:pPr>
      <w:r>
        <w:t xml:space="preserve">La Corte dei Conti </w:t>
      </w:r>
      <w:r w:rsidR="00A356CB">
        <w:t>del</w:t>
      </w:r>
      <w:r>
        <w:t xml:space="preserve"> Piemonte ha recentemente reso un parere in merito alla richiesta avanzata da un comune della provincia di Torino </w:t>
      </w:r>
      <w:r>
        <w:rPr>
          <w:sz w:val="20"/>
          <w:szCs w:val="20"/>
        </w:rPr>
        <w:t>in materia di canone unico patrimoniale di cui all’art. 1 commi 816 e ss. della Legge n. 160/2019.</w:t>
      </w:r>
    </w:p>
    <w:p w14:paraId="61F340BF" w14:textId="0346F785" w:rsidR="00936B9F" w:rsidRPr="00936B9F" w:rsidRDefault="00936B9F" w:rsidP="00936B9F">
      <w:pPr>
        <w:jc w:val="both"/>
        <w:rPr>
          <w:sz w:val="20"/>
          <w:szCs w:val="20"/>
        </w:rPr>
      </w:pPr>
      <w:r>
        <w:rPr>
          <w:sz w:val="20"/>
          <w:szCs w:val="20"/>
        </w:rPr>
        <w:t xml:space="preserve">Il caso sottoposto alla sezione regionale di controllo </w:t>
      </w:r>
      <w:r w:rsidR="00EC2B11">
        <w:rPr>
          <w:sz w:val="20"/>
          <w:szCs w:val="20"/>
        </w:rPr>
        <w:t xml:space="preserve">verteva </w:t>
      </w:r>
      <w:r w:rsidR="00356F32">
        <w:rPr>
          <w:sz w:val="20"/>
          <w:szCs w:val="20"/>
        </w:rPr>
        <w:t>sull’istanza di esenzione presentata dall’Arcidiocesi di Torino in riferimento a</w:t>
      </w:r>
      <w:r w:rsidR="00EC2B11">
        <w:rPr>
          <w:sz w:val="20"/>
          <w:szCs w:val="20"/>
        </w:rPr>
        <w:t>l</w:t>
      </w:r>
      <w:r>
        <w:rPr>
          <w:sz w:val="20"/>
          <w:szCs w:val="20"/>
        </w:rPr>
        <w:t xml:space="preserve">l’occupazione realizzata </w:t>
      </w:r>
      <w:r w:rsidR="00356F32">
        <w:rPr>
          <w:sz w:val="20"/>
          <w:szCs w:val="20"/>
        </w:rPr>
        <w:t xml:space="preserve">per consentire </w:t>
      </w:r>
      <w:r w:rsidRPr="00936B9F">
        <w:rPr>
          <w:sz w:val="20"/>
          <w:szCs w:val="20"/>
        </w:rPr>
        <w:t>un intervento per la sicurezza sismica della Chiesa Parrocchiale, progetto inserito dal Ministero dei Beni Culturali tra quelli destinatari di risorse PNRR a copertura totale dei costi.</w:t>
      </w:r>
    </w:p>
    <w:p w14:paraId="63E79A3F" w14:textId="64FFDF72" w:rsidR="00936B9F" w:rsidRDefault="00936B9F" w:rsidP="00936B9F">
      <w:pPr>
        <w:jc w:val="both"/>
        <w:rPr>
          <w:sz w:val="20"/>
          <w:szCs w:val="20"/>
        </w:rPr>
      </w:pPr>
      <w:r w:rsidRPr="00936B9F">
        <w:rPr>
          <w:sz w:val="20"/>
          <w:szCs w:val="20"/>
        </w:rPr>
        <w:t xml:space="preserve">L'Amministrazione titolare dell'investimento è </w:t>
      </w:r>
      <w:r w:rsidR="00356F32">
        <w:rPr>
          <w:sz w:val="20"/>
          <w:szCs w:val="20"/>
        </w:rPr>
        <w:t xml:space="preserve">stata </w:t>
      </w:r>
      <w:r w:rsidRPr="00936B9F">
        <w:rPr>
          <w:sz w:val="20"/>
          <w:szCs w:val="20"/>
        </w:rPr>
        <w:t xml:space="preserve">individuata nel Ministero della Cultura - Unità di missione per l'attuazione del PNRR, il Soggetto attuatore/Struttura Attuatrice è individuato nella Direzione generale per la Sicurezza del patrimonio Culturale del Ministero della Cultura ed il Soggetto attuatore esterno è </w:t>
      </w:r>
      <w:r w:rsidR="00356F32">
        <w:rPr>
          <w:sz w:val="20"/>
          <w:szCs w:val="20"/>
        </w:rPr>
        <w:t>stato individuato nel</w:t>
      </w:r>
      <w:r w:rsidRPr="00936B9F">
        <w:rPr>
          <w:sz w:val="20"/>
          <w:szCs w:val="20"/>
        </w:rPr>
        <w:t>l'Arcidiocesi.</w:t>
      </w:r>
    </w:p>
    <w:p w14:paraId="24C6834A" w14:textId="797E7806" w:rsidR="00EC2B11" w:rsidRDefault="00EC2B11" w:rsidP="00936B9F">
      <w:pPr>
        <w:jc w:val="both"/>
        <w:rPr>
          <w:sz w:val="20"/>
          <w:szCs w:val="20"/>
        </w:rPr>
      </w:pPr>
      <w:r>
        <w:rPr>
          <w:sz w:val="20"/>
          <w:szCs w:val="20"/>
        </w:rPr>
        <w:t>Preliminarmente la Corte dei Conti si esprime sulla legittimità della richiesta di parere, chiarendo come l’istanza formulata dall’ente si delinea ammissibile sotto il profilo dell’inerenza alla materia della contabilità pubblica, rientrando in quel segmento di essa che disciplina la gestione delle entrate degli enti locali nel quadro della normativa finanziaria introdotta dalla legge di bilancio 2020 sulla regolamentazione del c.d. “canone unico patrimoniale” (cfr. art.1 co. 816-836 L. n. 160/2019)</w:t>
      </w:r>
    </w:p>
    <w:p w14:paraId="74B16328" w14:textId="338E5630" w:rsidR="00F04608" w:rsidRDefault="004A763B" w:rsidP="00936B9F">
      <w:pPr>
        <w:jc w:val="both"/>
        <w:rPr>
          <w:sz w:val="20"/>
          <w:szCs w:val="20"/>
        </w:rPr>
      </w:pPr>
      <w:r>
        <w:rPr>
          <w:sz w:val="20"/>
          <w:szCs w:val="20"/>
        </w:rPr>
        <w:t>Effettivamente, una</w:t>
      </w:r>
      <w:r w:rsidR="00F04608">
        <w:rPr>
          <w:sz w:val="20"/>
          <w:szCs w:val="20"/>
        </w:rPr>
        <w:t xml:space="preserve"> richiesta di parere alla Corte dei Conti sull’applicabilità o </w:t>
      </w:r>
      <w:r>
        <w:rPr>
          <w:sz w:val="20"/>
          <w:szCs w:val="20"/>
        </w:rPr>
        <w:t>meno di</w:t>
      </w:r>
      <w:r w:rsidR="00F04608">
        <w:rPr>
          <w:sz w:val="20"/>
          <w:szCs w:val="20"/>
        </w:rPr>
        <w:t xml:space="preserve"> una ipotesi di esenzione del canone unico potrebbe considerarsi materia non di competenza dell’organo di controllo a cui non è stata </w:t>
      </w:r>
      <w:r w:rsidR="00F04608" w:rsidRPr="00F04608">
        <w:rPr>
          <w:sz w:val="20"/>
          <w:szCs w:val="20"/>
        </w:rPr>
        <w:t xml:space="preserve">attribuita una funzione di consulenza di portata generale, bensì limitata unicamente alla “materia di contabilità pubblica”. </w:t>
      </w:r>
    </w:p>
    <w:p w14:paraId="1CF3FCB1" w14:textId="6F75E485" w:rsidR="005F1EF1" w:rsidRDefault="005F1EF1" w:rsidP="005F1EF1">
      <w:pPr>
        <w:jc w:val="both"/>
        <w:rPr>
          <w:i/>
          <w:iCs/>
          <w:sz w:val="20"/>
          <w:szCs w:val="20"/>
        </w:rPr>
      </w:pPr>
      <w:r>
        <w:rPr>
          <w:sz w:val="20"/>
          <w:szCs w:val="20"/>
        </w:rPr>
        <w:t>Tuttavia la Corte ritiene di poter dare riscontro, n</w:t>
      </w:r>
      <w:r w:rsidRPr="005F1EF1">
        <w:rPr>
          <w:sz w:val="20"/>
          <w:szCs w:val="20"/>
        </w:rPr>
        <w:t>onostante la stretta attinenza de</w:t>
      </w:r>
      <w:r>
        <w:rPr>
          <w:sz w:val="20"/>
          <w:szCs w:val="20"/>
        </w:rPr>
        <w:t>l</w:t>
      </w:r>
      <w:r w:rsidRPr="005F1EF1">
        <w:rPr>
          <w:sz w:val="20"/>
          <w:szCs w:val="20"/>
        </w:rPr>
        <w:t xml:space="preserve"> quesit</w:t>
      </w:r>
      <w:r>
        <w:rPr>
          <w:sz w:val="20"/>
          <w:szCs w:val="20"/>
        </w:rPr>
        <w:t>o</w:t>
      </w:r>
      <w:r w:rsidRPr="005F1EF1">
        <w:rPr>
          <w:sz w:val="20"/>
          <w:szCs w:val="20"/>
        </w:rPr>
        <w:t xml:space="preserve"> a concreti profili gestionali,  forn</w:t>
      </w:r>
      <w:r>
        <w:rPr>
          <w:sz w:val="20"/>
          <w:szCs w:val="20"/>
        </w:rPr>
        <w:t>endo</w:t>
      </w:r>
      <w:r w:rsidRPr="005F1EF1">
        <w:rPr>
          <w:sz w:val="20"/>
          <w:szCs w:val="20"/>
        </w:rPr>
        <w:t xml:space="preserve"> indicazioni generali ed astratte in ordine all’interpretazione delle prescrizioni normative contenute </w:t>
      </w:r>
      <w:r>
        <w:rPr>
          <w:sz w:val="20"/>
          <w:szCs w:val="20"/>
        </w:rPr>
        <w:t xml:space="preserve">nel </w:t>
      </w:r>
      <w:r w:rsidRPr="005F1EF1">
        <w:rPr>
          <w:sz w:val="20"/>
          <w:szCs w:val="20"/>
        </w:rPr>
        <w:t>regolamento comunale in quanto meramente riproduttive della disposizione di legge di cui all’art. 1 comma 833 lett. a) L. n. 160/2019 a tenore del quale “</w:t>
      </w:r>
      <w:r w:rsidRPr="005F1EF1">
        <w:rPr>
          <w:i/>
          <w:iCs/>
          <w:sz w:val="20"/>
          <w:szCs w:val="20"/>
        </w:rPr>
        <w:t>sono esenti dal canone: a) le occupazioni effettuate dallo Stato, dalle regioni, province, città metropolitane, comuni e loro consorzi, da enti religiosi per l'esercizio di culti ammessi nello Stato, da enti pubblici di cui all'articolo 73. comma 1, lettera c del testo unico delle Imposte sui redditi, di cui al decreto del Presidente della Repubblica 22 dicembre 1986, numero 917, per finalità specifiche di assistenza, previdenza, sanità, educazione, cultura e ricerca scientifica”.</w:t>
      </w:r>
    </w:p>
    <w:p w14:paraId="6AA7AC0F" w14:textId="01E0C2BE" w:rsidR="00B017A6" w:rsidRDefault="00B017A6" w:rsidP="005F1EF1">
      <w:pPr>
        <w:jc w:val="both"/>
        <w:rPr>
          <w:i/>
          <w:iCs/>
          <w:sz w:val="20"/>
          <w:szCs w:val="20"/>
        </w:rPr>
      </w:pPr>
      <w:r w:rsidRPr="00B017A6">
        <w:rPr>
          <w:sz w:val="20"/>
          <w:szCs w:val="20"/>
        </w:rPr>
        <w:t>Dopo un</w:t>
      </w:r>
      <w:r>
        <w:rPr>
          <w:sz w:val="20"/>
          <w:szCs w:val="20"/>
        </w:rPr>
        <w:t>a</w:t>
      </w:r>
      <w:r w:rsidRPr="00B017A6">
        <w:rPr>
          <w:sz w:val="20"/>
          <w:szCs w:val="20"/>
        </w:rPr>
        <w:t xml:space="preserve"> ricostruzione</w:t>
      </w:r>
      <w:r>
        <w:rPr>
          <w:sz w:val="20"/>
          <w:szCs w:val="20"/>
        </w:rPr>
        <w:t xml:space="preserve"> dei passaggi fondamentali </w:t>
      </w:r>
      <w:r w:rsidRPr="00B017A6">
        <w:rPr>
          <w:sz w:val="20"/>
          <w:szCs w:val="20"/>
        </w:rPr>
        <w:t>della disciplina del CUP</w:t>
      </w:r>
      <w:r>
        <w:rPr>
          <w:sz w:val="20"/>
          <w:szCs w:val="20"/>
        </w:rPr>
        <w:t>, la Corte si sofferma sull’ipotesi di esenzione fissata dal Legislatore alla lettera “a” del comma 833, significando che: “</w:t>
      </w:r>
      <w:r w:rsidRPr="00B017A6">
        <w:rPr>
          <w:i/>
          <w:iCs/>
          <w:sz w:val="20"/>
          <w:szCs w:val="20"/>
        </w:rPr>
        <w:t>Secondo un’interpretazione funzionale della norma pare indubbio che nel bilanciamento tra l'interesse al prelievo giustificato dalla sottrazione di un bene pubblico al godimento della collettività (comunale o provinciale) e l’interesse al perseguimento di scopi istituzionali o di finalità sociali o religiose da parte rispettivamente dello Stato, di enti pubblici territoriali, di enti pubblici privi di finalità commerciali o di enti religiosi, le fattispecie normative di esenzione diano prevalenza a quest’ultimo.”</w:t>
      </w:r>
    </w:p>
    <w:p w14:paraId="393E917B" w14:textId="2BD17660" w:rsidR="00B017A6" w:rsidRDefault="00B017A6" w:rsidP="00996820">
      <w:pPr>
        <w:jc w:val="both"/>
        <w:rPr>
          <w:sz w:val="20"/>
          <w:szCs w:val="20"/>
        </w:rPr>
      </w:pPr>
      <w:r>
        <w:rPr>
          <w:sz w:val="20"/>
          <w:szCs w:val="20"/>
        </w:rPr>
        <w:t>La Corte, dove aver ricordato come le norme di agevolazione o di esenzione da una debenza tributaria o patrimoniale non consentono una loro interpretazione analogica ed estensiva, distinguono le ipotesi richiamate nella lettera “a” del comma 833</w:t>
      </w:r>
      <w:r w:rsidR="002E5FEC">
        <w:rPr>
          <w:sz w:val="20"/>
          <w:szCs w:val="20"/>
        </w:rPr>
        <w:t xml:space="preserve"> </w:t>
      </w:r>
      <w:r w:rsidR="00996820">
        <w:rPr>
          <w:sz w:val="20"/>
          <w:szCs w:val="20"/>
        </w:rPr>
        <w:t xml:space="preserve">in due casistiche: quelle realizzate da Stato ed enti territoriali, da applicare sempre in tutti i contesti istituzionali, e quelle realizzate da </w:t>
      </w:r>
      <w:r w:rsidR="00996820" w:rsidRPr="00996820">
        <w:rPr>
          <w:sz w:val="20"/>
          <w:szCs w:val="20"/>
        </w:rPr>
        <w:t xml:space="preserve">enti religiosi ed enti pubblici non commerciali i cui benefici operano esclusivamente nell’alveo delle limitazioni normative riconducibili rispettivamente alle occupazioni necessarie per l’esercizio dei culti ammessi dallo </w:t>
      </w:r>
      <w:r w:rsidR="00996820">
        <w:rPr>
          <w:sz w:val="20"/>
          <w:szCs w:val="20"/>
        </w:rPr>
        <w:t>S</w:t>
      </w:r>
      <w:r w:rsidR="00996820" w:rsidRPr="00996820">
        <w:rPr>
          <w:sz w:val="20"/>
          <w:szCs w:val="20"/>
        </w:rPr>
        <w:t>tato o a</w:t>
      </w:r>
      <w:r w:rsidR="00996820">
        <w:rPr>
          <w:sz w:val="20"/>
          <w:szCs w:val="20"/>
        </w:rPr>
        <w:t xml:space="preserve"> </w:t>
      </w:r>
      <w:r w:rsidR="00996820" w:rsidRPr="00996820">
        <w:rPr>
          <w:sz w:val="20"/>
          <w:szCs w:val="20"/>
        </w:rPr>
        <w:t>quelle funzionali alla realizzazione di finalità assistenziali, previdenziali, sanitarie, educative, culturali e di ricerca scientifica.</w:t>
      </w:r>
    </w:p>
    <w:p w14:paraId="146BF173" w14:textId="608F2A6F" w:rsidR="002E5FEC" w:rsidRDefault="002E5FEC" w:rsidP="00996820">
      <w:pPr>
        <w:jc w:val="both"/>
        <w:rPr>
          <w:sz w:val="20"/>
          <w:szCs w:val="20"/>
        </w:rPr>
      </w:pPr>
      <w:r>
        <w:rPr>
          <w:sz w:val="20"/>
          <w:szCs w:val="20"/>
        </w:rPr>
        <w:t>Fatto questa importante distinzione</w:t>
      </w:r>
      <w:r w:rsidR="00857CA7">
        <w:rPr>
          <w:sz w:val="20"/>
          <w:szCs w:val="20"/>
        </w:rPr>
        <w:t xml:space="preserve"> </w:t>
      </w:r>
      <w:r>
        <w:rPr>
          <w:sz w:val="20"/>
          <w:szCs w:val="20"/>
        </w:rPr>
        <w:t>che consente</w:t>
      </w:r>
      <w:r w:rsidR="00857CA7">
        <w:rPr>
          <w:sz w:val="20"/>
          <w:szCs w:val="20"/>
        </w:rPr>
        <w:t>,</w:t>
      </w:r>
      <w:r>
        <w:rPr>
          <w:sz w:val="20"/>
          <w:szCs w:val="20"/>
        </w:rPr>
        <w:t xml:space="preserve"> </w:t>
      </w:r>
      <w:r w:rsidR="00857CA7">
        <w:rPr>
          <w:sz w:val="20"/>
          <w:szCs w:val="20"/>
        </w:rPr>
        <w:t xml:space="preserve">da un lato di </w:t>
      </w:r>
      <w:r>
        <w:rPr>
          <w:sz w:val="20"/>
          <w:szCs w:val="20"/>
        </w:rPr>
        <w:t>garantire l’esenzione senza limitazioni alle occupazioni effettuate d</w:t>
      </w:r>
      <w:r w:rsidR="00857CA7">
        <w:rPr>
          <w:sz w:val="20"/>
          <w:szCs w:val="20"/>
        </w:rPr>
        <w:t>a</w:t>
      </w:r>
      <w:r>
        <w:rPr>
          <w:sz w:val="20"/>
          <w:szCs w:val="20"/>
        </w:rPr>
        <w:t xml:space="preserve">llo Stato e dagli enti territoriali, Regioni, Province, </w:t>
      </w:r>
      <w:r w:rsidR="00857CA7">
        <w:rPr>
          <w:sz w:val="20"/>
          <w:szCs w:val="20"/>
        </w:rPr>
        <w:t xml:space="preserve">Città Metropolitane e </w:t>
      </w:r>
      <w:r>
        <w:rPr>
          <w:sz w:val="20"/>
          <w:szCs w:val="20"/>
        </w:rPr>
        <w:t>Comuni</w:t>
      </w:r>
      <w:r w:rsidR="00857CA7">
        <w:rPr>
          <w:sz w:val="20"/>
          <w:szCs w:val="20"/>
        </w:rPr>
        <w:t xml:space="preserve">, e dall’altro, </w:t>
      </w:r>
      <w:r w:rsidR="00857CA7" w:rsidRPr="00857CA7">
        <w:rPr>
          <w:sz w:val="20"/>
          <w:szCs w:val="20"/>
        </w:rPr>
        <w:t xml:space="preserve">per </w:t>
      </w:r>
      <w:r w:rsidR="00857CA7">
        <w:rPr>
          <w:sz w:val="20"/>
          <w:szCs w:val="20"/>
        </w:rPr>
        <w:t xml:space="preserve">gli </w:t>
      </w:r>
      <w:r w:rsidR="00857CA7" w:rsidRPr="00857CA7">
        <w:rPr>
          <w:sz w:val="20"/>
          <w:szCs w:val="20"/>
        </w:rPr>
        <w:t xml:space="preserve">enti religiosi ed enti pubblici, </w:t>
      </w:r>
      <w:r w:rsidR="00857CA7">
        <w:rPr>
          <w:sz w:val="20"/>
          <w:szCs w:val="20"/>
        </w:rPr>
        <w:t xml:space="preserve">di limitare </w:t>
      </w:r>
      <w:r w:rsidR="00857CA7" w:rsidRPr="00857CA7">
        <w:rPr>
          <w:sz w:val="20"/>
          <w:szCs w:val="20"/>
        </w:rPr>
        <w:t xml:space="preserve">l’ambito applicativo alle </w:t>
      </w:r>
      <w:r w:rsidR="00857CA7">
        <w:rPr>
          <w:sz w:val="20"/>
          <w:szCs w:val="20"/>
        </w:rPr>
        <w:t xml:space="preserve">sole </w:t>
      </w:r>
      <w:r w:rsidR="00857CA7" w:rsidRPr="00857CA7">
        <w:rPr>
          <w:sz w:val="20"/>
          <w:szCs w:val="20"/>
        </w:rPr>
        <w:t>occupazioni specificamente indicate dal legislatore</w:t>
      </w:r>
      <w:r w:rsidR="00DE2415">
        <w:rPr>
          <w:sz w:val="20"/>
          <w:szCs w:val="20"/>
        </w:rPr>
        <w:t xml:space="preserve">, occorre, scrive la Corte </w:t>
      </w:r>
      <w:r w:rsidR="00DE2415" w:rsidRPr="00DE2415">
        <w:rPr>
          <w:i/>
          <w:iCs/>
          <w:sz w:val="20"/>
          <w:szCs w:val="20"/>
        </w:rPr>
        <w:t>“analizzare il non secondario problema delle occupazioni effettuate direttamente da operatori economici cui, a seguito dell’emissione di specifici bandi di gara, siano stati affidati in appalto interventi pubblici per conto dei soggetti beneficiari delle esenzioni medesime.”</w:t>
      </w:r>
    </w:p>
    <w:p w14:paraId="2DEB4C55" w14:textId="2C95EBFE" w:rsidR="00857CA7" w:rsidRDefault="002C0FBB" w:rsidP="00996820">
      <w:pPr>
        <w:jc w:val="both"/>
        <w:rPr>
          <w:sz w:val="20"/>
          <w:szCs w:val="20"/>
        </w:rPr>
      </w:pPr>
      <w:r>
        <w:rPr>
          <w:sz w:val="20"/>
          <w:szCs w:val="20"/>
        </w:rPr>
        <w:lastRenderedPageBreak/>
        <w:t xml:space="preserve">È questo l’elemento </w:t>
      </w:r>
      <w:r w:rsidR="00A31CD3">
        <w:rPr>
          <w:sz w:val="20"/>
          <w:szCs w:val="20"/>
        </w:rPr>
        <w:t>fondamentale</w:t>
      </w:r>
      <w:r>
        <w:rPr>
          <w:sz w:val="20"/>
          <w:szCs w:val="20"/>
        </w:rPr>
        <w:t xml:space="preserve"> che è stato posto alla base della richiesta di parere. Può la ditta che esegue materialmente i lavori godere dell’esenzione per l’occupazione del suolo pubblico realizzata per conto dell’Arcidiocesi negli interventi necessari</w:t>
      </w:r>
      <w:r w:rsidRPr="00936B9F">
        <w:rPr>
          <w:sz w:val="20"/>
          <w:szCs w:val="20"/>
        </w:rPr>
        <w:t xml:space="preserve"> per la sicurezza sismica della Chiesa Parrocchiale</w:t>
      </w:r>
      <w:r>
        <w:rPr>
          <w:sz w:val="20"/>
          <w:szCs w:val="20"/>
        </w:rPr>
        <w:t>?</w:t>
      </w:r>
    </w:p>
    <w:p w14:paraId="6B317E82" w14:textId="59CC55E6" w:rsidR="002C0FBB" w:rsidRDefault="002C0FBB" w:rsidP="00996820">
      <w:pPr>
        <w:jc w:val="both"/>
        <w:rPr>
          <w:sz w:val="20"/>
          <w:szCs w:val="20"/>
        </w:rPr>
      </w:pPr>
      <w:r>
        <w:rPr>
          <w:sz w:val="20"/>
          <w:szCs w:val="20"/>
        </w:rPr>
        <w:t xml:space="preserve">La risposta della Corte nel parere pubblicato lo scorso 18 aprile è negativa. </w:t>
      </w:r>
    </w:p>
    <w:p w14:paraId="477F6A01" w14:textId="320DB7F3" w:rsidR="002C0FBB" w:rsidRDefault="002C0FBB" w:rsidP="00996820">
      <w:pPr>
        <w:jc w:val="both"/>
      </w:pPr>
      <w:r>
        <w:rPr>
          <w:sz w:val="20"/>
          <w:szCs w:val="20"/>
        </w:rPr>
        <w:t xml:space="preserve">In un precedente approfondimento, pubblicato sulla </w:t>
      </w:r>
      <w:r w:rsidR="00A356CB">
        <w:rPr>
          <w:sz w:val="20"/>
          <w:szCs w:val="20"/>
        </w:rPr>
        <w:t>piattaforma lo</w:t>
      </w:r>
      <w:r>
        <w:rPr>
          <w:sz w:val="20"/>
          <w:szCs w:val="20"/>
        </w:rPr>
        <w:t xml:space="preserve"> scorso 23 settembre 2023, avevamo anticipato </w:t>
      </w:r>
      <w:r w:rsidR="00A356CB">
        <w:rPr>
          <w:sz w:val="20"/>
          <w:szCs w:val="20"/>
        </w:rPr>
        <w:t>la problematica</w:t>
      </w:r>
      <w:r>
        <w:rPr>
          <w:sz w:val="20"/>
          <w:szCs w:val="20"/>
        </w:rPr>
        <w:t>. Nell’articolo intitolato “</w:t>
      </w:r>
      <w:r>
        <w:t>Le occupazioni realizzate da enti pubblici non sono sempre esenti” avevamo affrontato proprio questo tema. Già in quell’occasione avevamo analizzato alcune sentenza di Corte di Cassazione che confermavano un orientamento che vuole esenti solo le occupazioni direttamente riconducibili all’ente pubblico destinatario della norma.</w:t>
      </w:r>
    </w:p>
    <w:p w14:paraId="4105DE0C" w14:textId="051BD0EF" w:rsidR="00A356CB" w:rsidRPr="00CF1CCF" w:rsidRDefault="00A356CB" w:rsidP="00996820">
      <w:pPr>
        <w:jc w:val="both"/>
        <w:rPr>
          <w:b/>
          <w:bCs/>
          <w:i/>
          <w:iCs/>
        </w:rPr>
      </w:pPr>
      <w:r>
        <w:t>Ora è la Corte dei Conti a esprimersi in tal senso, specificando che</w:t>
      </w:r>
      <w:r w:rsidR="00CF1CCF">
        <w:t xml:space="preserve">: </w:t>
      </w:r>
      <w:r w:rsidR="00CF1CCF" w:rsidRPr="00CF1CCF">
        <w:rPr>
          <w:i/>
          <w:iCs/>
        </w:rPr>
        <w:t>“</w:t>
      </w:r>
      <w:r w:rsidR="00CF1CCF">
        <w:rPr>
          <w:i/>
          <w:iCs/>
        </w:rPr>
        <w:t>…</w:t>
      </w:r>
      <w:r w:rsidR="00CF1CCF" w:rsidRPr="00CF1CCF">
        <w:rPr>
          <w:i/>
          <w:iCs/>
        </w:rPr>
        <w:t>rilevando quale presupposto impositivo del canone il fatto in sé delle “occupazioni “effettuate” su “aree appartenenti al demanio o al patrimonio indisponibile degli enti” o su “spazi soprastanti o sottostanti il suolo pubblico”, qualsiasi intervento dell’impresa appaltatrice su tali aree o spazi ne presuppone una previa occupazione che non la sottrae al pagamento del canone, a nulla rilevando che l’esecuzione dell’appalto si realizzi per conto di uno qualsiasi dei soggetti beneficiari ex lege.”</w:t>
      </w:r>
    </w:p>
    <w:p w14:paraId="6A5AA3C8" w14:textId="729855B0" w:rsidR="00CF1CCF" w:rsidRDefault="00CF1CCF" w:rsidP="00996820">
      <w:pPr>
        <w:jc w:val="both"/>
        <w:rPr>
          <w:b/>
          <w:bCs/>
        </w:rPr>
      </w:pPr>
      <w:r w:rsidRPr="00CF1CCF">
        <w:rPr>
          <w:b/>
          <w:bCs/>
        </w:rPr>
        <w:t>Chiara la posizione della Corte che ritiene l’impresa appaltatrice dell’opera, carente del requisito soggettivo necessario per beneficiare dell’esenzione di cui alla lettera “a” del comma 833 della Legge 160/2019.</w:t>
      </w:r>
      <w:r>
        <w:rPr>
          <w:b/>
          <w:bCs/>
        </w:rPr>
        <w:t xml:space="preserve"> Non gioca a favore del soggetto occupante che l’occupazione sia riconducibile all’esecuzione di un lavoro per conto di uno dei soggetti destinatari dell’agevolazione fiscale.</w:t>
      </w:r>
    </w:p>
    <w:p w14:paraId="29BFCD7D" w14:textId="75FC457E" w:rsidR="00CF1CCF" w:rsidRDefault="00CF1CCF" w:rsidP="00996820">
      <w:pPr>
        <w:jc w:val="both"/>
      </w:pPr>
      <w:r w:rsidRPr="0090427C">
        <w:t>A sostegno della posizione</w:t>
      </w:r>
      <w:r w:rsidR="0090427C">
        <w:t xml:space="preserve">, la Corte richiama una sentenza della Cassazione nella quale i giudici avevano deciso sull’applicazione dell’entrata dedicata all’occupazione del suolo pubblico per </w:t>
      </w:r>
      <w:r w:rsidR="0090427C" w:rsidRPr="0090427C">
        <w:t xml:space="preserve">una fattispecie similare, </w:t>
      </w:r>
      <w:r w:rsidR="0090427C">
        <w:t>nei confronti di una</w:t>
      </w:r>
      <w:r w:rsidR="0090427C" w:rsidRPr="0090427C">
        <w:t xml:space="preserve"> società concessionaria per la realizzazione e la gestione di un'opera pubblica (nella specie, un tratto di rete autostradale inclusiva di un viadotto sopraelevato</w:t>
      </w:r>
      <w:r w:rsidR="003D3B38">
        <w:t>)</w:t>
      </w:r>
      <w:r w:rsidR="0090427C">
        <w:t>.</w:t>
      </w:r>
    </w:p>
    <w:p w14:paraId="17F68E30" w14:textId="30E57A78" w:rsidR="0090427C" w:rsidRDefault="0090427C" w:rsidP="0070013D">
      <w:pPr>
        <w:jc w:val="both"/>
      </w:pPr>
      <w:r>
        <w:t>Sono diverse le sentenze orientate in questo senso</w:t>
      </w:r>
      <w:r w:rsidR="003D3B38">
        <w:t xml:space="preserve">, </w:t>
      </w:r>
      <w:r w:rsidR="0070013D">
        <w:t xml:space="preserve">come quella emessa </w:t>
      </w:r>
      <w:r w:rsidR="0070013D">
        <w:t>d</w:t>
      </w:r>
      <w:r w:rsidR="0070013D">
        <w:t>a</w:t>
      </w:r>
      <w:r w:rsidR="0070013D">
        <w:t>lla</w:t>
      </w:r>
      <w:r w:rsidR="0070013D">
        <w:t xml:space="preserve"> </w:t>
      </w:r>
      <w:r w:rsidR="0070013D">
        <w:t>Sezione 5 di Corte di Cassazione</w:t>
      </w:r>
      <w:r w:rsidR="0070013D">
        <w:t>, nell’ordinanza</w:t>
      </w:r>
      <w:r w:rsidR="0070013D">
        <w:t xml:space="preserve"> n. 2653 del 2020 </w:t>
      </w:r>
      <w:r w:rsidR="0070013D">
        <w:t xml:space="preserve">nella quale </w:t>
      </w:r>
      <w:r w:rsidR="0070013D">
        <w:t xml:space="preserve">si legge che: </w:t>
      </w:r>
      <w:r w:rsidR="0070013D" w:rsidRPr="0070013D">
        <w:rPr>
          <w:i/>
          <w:iCs/>
        </w:rPr>
        <w:t>“Secondo l'orientamento di questa Corte «In tema di</w:t>
      </w:r>
      <w:r w:rsidR="0070013D" w:rsidRPr="0070013D">
        <w:rPr>
          <w:i/>
          <w:iCs/>
        </w:rPr>
        <w:t xml:space="preserve"> </w:t>
      </w:r>
      <w:r w:rsidR="0070013D" w:rsidRPr="0070013D">
        <w:rPr>
          <w:i/>
          <w:iCs/>
        </w:rPr>
        <w:t>tassa per l'occupazione di spazi ed aree pubbliche (TOSAP), l'esenzione prevista per lo Stato e per gli</w:t>
      </w:r>
      <w:r w:rsidR="0070013D" w:rsidRPr="0070013D">
        <w:rPr>
          <w:i/>
          <w:iCs/>
        </w:rPr>
        <w:t xml:space="preserve"> </w:t>
      </w:r>
      <w:r w:rsidR="0070013D" w:rsidRPr="0070013D">
        <w:rPr>
          <w:i/>
          <w:iCs/>
        </w:rPr>
        <w:t>altri enti pubblici dall'art. 49, comma 1, lett. a), del d.lgs. n. 507 del 1993, postula che l'occupazione sia</w:t>
      </w:r>
      <w:r w:rsidR="0070013D" w:rsidRPr="0070013D">
        <w:rPr>
          <w:i/>
          <w:iCs/>
        </w:rPr>
        <w:t xml:space="preserve"> </w:t>
      </w:r>
      <w:r w:rsidR="0070013D" w:rsidRPr="0070013D">
        <w:rPr>
          <w:i/>
          <w:iCs/>
        </w:rPr>
        <w:t>ascrivibile al soggetto esente» e non al soggetto che agisca in qualità di concessionaria per la</w:t>
      </w:r>
      <w:r w:rsidR="0070013D" w:rsidRPr="0070013D">
        <w:rPr>
          <w:i/>
          <w:iCs/>
        </w:rPr>
        <w:t xml:space="preserve"> </w:t>
      </w:r>
      <w:r w:rsidR="0070013D" w:rsidRPr="0070013D">
        <w:rPr>
          <w:i/>
          <w:iCs/>
        </w:rPr>
        <w:t>realizzazione di un'opera pubblica, restando irrilevante che l'opera sia di proprietà dello Stato o di un</w:t>
      </w:r>
      <w:r w:rsidR="0070013D" w:rsidRPr="0070013D">
        <w:rPr>
          <w:i/>
          <w:iCs/>
        </w:rPr>
        <w:t xml:space="preserve"> </w:t>
      </w:r>
      <w:r w:rsidR="0070013D" w:rsidRPr="0070013D">
        <w:rPr>
          <w:i/>
          <w:iCs/>
        </w:rPr>
        <w:t>altro degli enti pubblici equiparati dalla norma in questione (v. Cass. n. 19693 del 2018; Cass. n. 11886</w:t>
      </w:r>
      <w:r w:rsidR="0070013D" w:rsidRPr="0070013D">
        <w:rPr>
          <w:i/>
          <w:iCs/>
        </w:rPr>
        <w:t xml:space="preserve"> </w:t>
      </w:r>
      <w:r w:rsidR="0070013D" w:rsidRPr="0070013D">
        <w:rPr>
          <w:i/>
          <w:iCs/>
        </w:rPr>
        <w:t>del 2017).”</w:t>
      </w:r>
    </w:p>
    <w:p w14:paraId="0304215D" w14:textId="5FF06388" w:rsidR="0090427C" w:rsidRDefault="007529A7" w:rsidP="007529A7">
      <w:pPr>
        <w:jc w:val="both"/>
        <w:rPr>
          <w:i/>
          <w:iCs/>
        </w:rPr>
      </w:pPr>
      <w:r>
        <w:t xml:space="preserve">Eppure in passato l’orientamento era diverso, tanto che lo stesso </w:t>
      </w:r>
      <w:r>
        <w:t>Ministero delle Finanze</w:t>
      </w:r>
      <w:r>
        <w:t>,</w:t>
      </w:r>
      <w:r>
        <w:t xml:space="preserve"> con la risoluzione del 1° agosto 2000, n. 125/E</w:t>
      </w:r>
      <w:r>
        <w:t xml:space="preserve">, </w:t>
      </w:r>
      <w:r>
        <w:t xml:space="preserve"> aveva</w:t>
      </w:r>
      <w:r>
        <w:t xml:space="preserve"> </w:t>
      </w:r>
      <w:r>
        <w:t>riconosciuto l’esenzione dalla tassa anche per le occupazioni di spazi ed aree pubbliche effettuate</w:t>
      </w:r>
      <w:r>
        <w:t xml:space="preserve"> </w:t>
      </w:r>
      <w:r>
        <w:t>dalle imprese affidatarie di lavori da realizzare per conto dello Stato. Con tale risoluzione</w:t>
      </w:r>
      <w:r>
        <w:t xml:space="preserve"> </w:t>
      </w:r>
      <w:r>
        <w:t>l’Amministrazione finanziaria recepiva quanto sostenuto dalla Corte di Cassazione nella sentenza</w:t>
      </w:r>
      <w:r>
        <w:t xml:space="preserve"> </w:t>
      </w:r>
      <w:r>
        <w:t>30 maggio 2000, n. 7197, che aveva riconosciuto applicabile l’esenzione prevista dall’art. 49,</w:t>
      </w:r>
      <w:r>
        <w:t xml:space="preserve"> </w:t>
      </w:r>
      <w:r>
        <w:t>comma 1, lett. a) del Decreto Legislativo 15 novembre 1993, n. 507 anche nell’ipotesi in cui</w:t>
      </w:r>
      <w:r>
        <w:t xml:space="preserve"> </w:t>
      </w:r>
      <w:r>
        <w:t>l’occupazione di aree del demanio comunale fosse effettuata da un imprenditore per l’esecuzione</w:t>
      </w:r>
      <w:r>
        <w:t xml:space="preserve"> </w:t>
      </w:r>
      <w:r>
        <w:t xml:space="preserve">di un’opera pubblica appaltata dallo Stato. Nella sentenza si leggeva: </w:t>
      </w:r>
      <w:r w:rsidRPr="007529A7">
        <w:rPr>
          <w:i/>
          <w:iCs/>
        </w:rPr>
        <w:t>«spetta l'esenzione dalla tassa</w:t>
      </w:r>
      <w:r w:rsidRPr="007529A7">
        <w:rPr>
          <w:i/>
          <w:iCs/>
        </w:rPr>
        <w:t xml:space="preserve"> </w:t>
      </w:r>
      <w:r w:rsidRPr="007529A7">
        <w:rPr>
          <w:i/>
          <w:iCs/>
        </w:rPr>
        <w:t>per l'occupazione di spazi e aree pubbliche per l'esecuzione di un'opera pubblica appaltata dallo Stato,</w:t>
      </w:r>
      <w:r w:rsidRPr="007529A7">
        <w:rPr>
          <w:i/>
          <w:iCs/>
        </w:rPr>
        <w:t xml:space="preserve"> </w:t>
      </w:r>
      <w:r w:rsidRPr="007529A7">
        <w:rPr>
          <w:i/>
          <w:iCs/>
        </w:rPr>
        <w:t>in quanto l'opera, realizzata in esecuzione di obbligo contrattuale, è stata svolta dall'appaltatore per</w:t>
      </w:r>
      <w:r w:rsidRPr="007529A7">
        <w:rPr>
          <w:i/>
          <w:iCs/>
        </w:rPr>
        <w:t xml:space="preserve"> </w:t>
      </w:r>
      <w:r w:rsidRPr="007529A7">
        <w:rPr>
          <w:i/>
          <w:iCs/>
        </w:rPr>
        <w:t>conto dello Stato, al quale deve farsi, quindi, risalire la titolarità dell'occupazione»</w:t>
      </w:r>
    </w:p>
    <w:p w14:paraId="112C50A1" w14:textId="66242E32" w:rsidR="007529A7" w:rsidRPr="007529A7" w:rsidRDefault="007529A7" w:rsidP="007529A7">
      <w:pPr>
        <w:jc w:val="both"/>
      </w:pPr>
      <w:r>
        <w:t>Da un punto di vista sostanziale e pratico, la linea tenuta dal MEF e dalla Cassazione nei primi anni 2000, aveva una logica, e non era a priori sbagliato ritenere che la titolarità delle occupazioni realizzate</w:t>
      </w:r>
      <w:r w:rsidR="0016299B">
        <w:t>, dovessero ricadere</w:t>
      </w:r>
      <w:r>
        <w:t xml:space="preserve"> in capo ai soggetti pubblici e non alle ditte esecutrici dei lavori. A riprova di questo, si registra come </w:t>
      </w:r>
      <w:r w:rsidR="0016299B">
        <w:t xml:space="preserve">ancora oggi </w:t>
      </w:r>
      <w:r>
        <w:t xml:space="preserve">spesso le autorizzazioni ad occupare il suolo vengono </w:t>
      </w:r>
      <w:r w:rsidR="0016299B">
        <w:t xml:space="preserve">richieste e </w:t>
      </w:r>
      <w:r>
        <w:t>rilasciate a nome del</w:t>
      </w:r>
      <w:r w:rsidR="0016299B">
        <w:t xml:space="preserve"> soggetto </w:t>
      </w:r>
      <w:r w:rsidR="0016299B">
        <w:lastRenderedPageBreak/>
        <w:t xml:space="preserve">pubblico committente e non dell’impresa edile che effettua i lavori. In questi casi sarebbe possibile concedere l’esenzione? La domanda è provocatoria e la risposta dovrebbe essere </w:t>
      </w:r>
      <w:r w:rsidR="00922CAA">
        <w:t xml:space="preserve">comunque </w:t>
      </w:r>
      <w:r w:rsidR="0016299B">
        <w:t>negativa, tuttavia è possibile che da più parti sia ancora utilizzata questa forma come soluzione per porre in esenzione ciò che oggi l’orientamento generale</w:t>
      </w:r>
      <w:r w:rsidR="00922CAA">
        <w:t xml:space="preserve"> vuole soggetto al pagamento del CUP.</w:t>
      </w:r>
      <w:r w:rsidR="0016299B">
        <w:t xml:space="preserve">   </w:t>
      </w:r>
      <w:r>
        <w:t xml:space="preserve">  </w:t>
      </w:r>
    </w:p>
    <w:p w14:paraId="73B32370" w14:textId="77777777" w:rsidR="0090427C" w:rsidRPr="0090427C" w:rsidRDefault="0090427C" w:rsidP="00996820">
      <w:pPr>
        <w:jc w:val="both"/>
      </w:pPr>
    </w:p>
    <w:p w14:paraId="381B1490" w14:textId="77777777" w:rsidR="002C0FBB" w:rsidRDefault="002C0FBB" w:rsidP="00996820">
      <w:pPr>
        <w:jc w:val="both"/>
        <w:rPr>
          <w:sz w:val="20"/>
          <w:szCs w:val="20"/>
        </w:rPr>
      </w:pPr>
    </w:p>
    <w:p w14:paraId="019F7978" w14:textId="77777777" w:rsidR="00996820" w:rsidRPr="00B017A6" w:rsidRDefault="00996820" w:rsidP="00996820">
      <w:pPr>
        <w:jc w:val="both"/>
        <w:rPr>
          <w:sz w:val="20"/>
          <w:szCs w:val="20"/>
        </w:rPr>
      </w:pPr>
    </w:p>
    <w:p w14:paraId="7F4CDCB8" w14:textId="77777777" w:rsidR="005F1EF1" w:rsidRPr="005F1EF1" w:rsidRDefault="005F1EF1" w:rsidP="005F1EF1">
      <w:pPr>
        <w:jc w:val="both"/>
        <w:rPr>
          <w:sz w:val="20"/>
          <w:szCs w:val="20"/>
        </w:rPr>
      </w:pPr>
    </w:p>
    <w:p w14:paraId="641F0DC5" w14:textId="77777777" w:rsidR="00EC2B11" w:rsidRDefault="00EC2B11" w:rsidP="00936B9F">
      <w:pPr>
        <w:jc w:val="both"/>
      </w:pPr>
    </w:p>
    <w:sectPr w:rsidR="00EC2B1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A0D"/>
    <w:rsid w:val="000A54EE"/>
    <w:rsid w:val="0016299B"/>
    <w:rsid w:val="002C0FBB"/>
    <w:rsid w:val="002E5FEC"/>
    <w:rsid w:val="00356F32"/>
    <w:rsid w:val="003D3B38"/>
    <w:rsid w:val="004A763B"/>
    <w:rsid w:val="005F1EF1"/>
    <w:rsid w:val="006672EA"/>
    <w:rsid w:val="0070013D"/>
    <w:rsid w:val="007529A7"/>
    <w:rsid w:val="00857CA7"/>
    <w:rsid w:val="008D7A0D"/>
    <w:rsid w:val="0090427C"/>
    <w:rsid w:val="00922CAA"/>
    <w:rsid w:val="00936B9F"/>
    <w:rsid w:val="00996820"/>
    <w:rsid w:val="00A31CD3"/>
    <w:rsid w:val="00A356CB"/>
    <w:rsid w:val="00B017A6"/>
    <w:rsid w:val="00CF1CCF"/>
    <w:rsid w:val="00DE2415"/>
    <w:rsid w:val="00EC2B11"/>
    <w:rsid w:val="00F0460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8BDD3"/>
  <w15:chartTrackingRefBased/>
  <w15:docId w15:val="{EA381CBD-B80C-4AD1-BB71-5EDBD145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3</Pages>
  <Words>1477</Words>
  <Characters>8421</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10</cp:revision>
  <dcterms:created xsi:type="dcterms:W3CDTF">2024-04-29T12:57:00Z</dcterms:created>
  <dcterms:modified xsi:type="dcterms:W3CDTF">2024-05-02T09:11:00Z</dcterms:modified>
</cp:coreProperties>
</file>