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7C981" w14:textId="75ADD2A2" w:rsidR="003A6B70" w:rsidRDefault="00CA7D20">
      <w:r>
        <w:t>Titolo: l</w:t>
      </w:r>
      <w:r w:rsidR="00FE2BF3">
        <w:t xml:space="preserve">e modalità di </w:t>
      </w:r>
      <w:r>
        <w:t>gestione delle Pubbliche Affissioni con il regime CUP</w:t>
      </w:r>
    </w:p>
    <w:p w14:paraId="48F4B75B" w14:textId="22983549" w:rsidR="00CA7D20" w:rsidRDefault="00CA7D20" w:rsidP="00653049">
      <w:pPr>
        <w:jc w:val="both"/>
      </w:pPr>
      <w:r>
        <w:t>Uno dei misteri più fitti che riguarda la nuova disciplina del CUP è rappresentato dal totale disinteresse del Legislatore alla gestione del servizio delle Pubbliche Affissioni.</w:t>
      </w:r>
    </w:p>
    <w:p w14:paraId="08673EC5" w14:textId="06788090" w:rsidR="00CA7D20" w:rsidRDefault="00CA7D20" w:rsidP="00653049">
      <w:pPr>
        <w:jc w:val="both"/>
      </w:pPr>
      <w:r>
        <w:t xml:space="preserve">Un servizio </w:t>
      </w:r>
      <w:r w:rsidR="002C334A">
        <w:t>offerto</w:t>
      </w:r>
      <w:r>
        <w:t xml:space="preserve"> dalla quasi totalità dei comuni italiani, che vede quotidianamente richieste da parte di committenti di diversa natura</w:t>
      </w:r>
      <w:r w:rsidR="002C334A">
        <w:t xml:space="preserve">: </w:t>
      </w:r>
      <w:r>
        <w:t>società di promozione pubblicitaria, associazioni, partiti politici, istituzioni, enti pubblici, ecc.</w:t>
      </w:r>
      <w:proofErr w:type="gramStart"/>
      <w:r>
        <w:t>. ;</w:t>
      </w:r>
      <w:proofErr w:type="gramEnd"/>
      <w:r>
        <w:t xml:space="preserve"> soggetti che richiedono l’espletamento del servizio affissioni per campagne di promozione </w:t>
      </w:r>
      <w:r w:rsidR="002C334A">
        <w:t xml:space="preserve">di </w:t>
      </w:r>
      <w:r>
        <w:t>eventi, prodotti</w:t>
      </w:r>
      <w:r w:rsidR="002C334A">
        <w:t xml:space="preserve"> commerciali</w:t>
      </w:r>
      <w:r>
        <w:t>, manifestazioni, id</w:t>
      </w:r>
      <w:r w:rsidR="002C334A">
        <w:t xml:space="preserve">ee, </w:t>
      </w:r>
      <w:proofErr w:type="spellStart"/>
      <w:r w:rsidR="002C334A">
        <w:t>ecc</w:t>
      </w:r>
      <w:proofErr w:type="spellEnd"/>
      <w:r w:rsidR="002C334A">
        <w:t>…</w:t>
      </w:r>
    </w:p>
    <w:p w14:paraId="6A287AD1" w14:textId="484291A7" w:rsidR="00CA7D20" w:rsidRDefault="00CA7D20" w:rsidP="00653049">
      <w:pPr>
        <w:jc w:val="both"/>
      </w:pPr>
      <w:r>
        <w:t xml:space="preserve">Un servizio che, nonostante la crisi del settore accentuata con la </w:t>
      </w:r>
      <w:r w:rsidR="00653049">
        <w:t>pandemia, muove</w:t>
      </w:r>
      <w:r>
        <w:t xml:space="preserve"> ancora quotidianamente migliaia di operatori, con esposizioni di manifesti di vario formato, dal</w:t>
      </w:r>
      <w:r w:rsidR="002C334A">
        <w:t xml:space="preserve"> foglio base </w:t>
      </w:r>
      <w:r>
        <w:t>70x100 fino ai poster 6x3, da nord a sud</w:t>
      </w:r>
      <w:r w:rsidR="002C334A">
        <w:t xml:space="preserve"> del Paese</w:t>
      </w:r>
      <w:r>
        <w:t>, utilizzando impianti a muro, le classiche tabelle a 4 fogli</w:t>
      </w:r>
      <w:r w:rsidR="00653049">
        <w:t>, e gli stendardi bifacciali a 2 e 4 fogli.</w:t>
      </w:r>
    </w:p>
    <w:p w14:paraId="33912DBB" w14:textId="6D74486A" w:rsidR="00653049" w:rsidRDefault="00653049" w:rsidP="00653049">
      <w:pPr>
        <w:jc w:val="both"/>
      </w:pPr>
      <w:r>
        <w:t xml:space="preserve">Ma come viene regolato il servizio? Quali le modalità di prenotazione spazi e di espletamento? Come calcolare la giusta tariffa per le diverse ipotesi? Quali campagne meritano la riduzione o l’esenzione dal pagamento del Canone? Tutte domande che non trovano più risposta nella Legge, che come detto, nell’attuale versione ha letteralmente ignorato il servizio delle Pubbliche Affissioni. </w:t>
      </w:r>
    </w:p>
    <w:p w14:paraId="2A309C1B" w14:textId="7F30FDF7" w:rsidR="00653049" w:rsidRPr="00D14C66" w:rsidRDefault="00D14C66" w:rsidP="00653049">
      <w:pPr>
        <w:jc w:val="both"/>
        <w:rPr>
          <w:i/>
          <w:iCs/>
        </w:rPr>
      </w:pPr>
      <w:r>
        <w:t xml:space="preserve">Anzi, l’unico riferimento alle affissioni che troviamo nella norma dedicata all’introduzione del Canone Unico, è </w:t>
      </w:r>
      <w:r w:rsidR="00653049">
        <w:t>la possibilità</w:t>
      </w:r>
      <w:r>
        <w:t xml:space="preserve"> concessa agli </w:t>
      </w:r>
      <w:r w:rsidR="00653049">
        <w:t>enti di abrogare definitivamente il servizio sostituendolo con messaggi tecnologicamente al passo con i tempi. Il Comma 836 della Legge 160/2019 ha previsto</w:t>
      </w:r>
      <w:r>
        <w:t xml:space="preserve"> infatti</w:t>
      </w:r>
      <w:r w:rsidR="00653049">
        <w:t>: “</w:t>
      </w:r>
      <w:r w:rsidR="00653049" w:rsidRPr="00D14C66">
        <w:rPr>
          <w:i/>
          <w:iCs/>
        </w:rPr>
        <w:t>Con decorrenza dal 1° dicembre 2021 è soppresso l’obbligo dell’istituzione da parte dei comuni del servizio delle pubbliche affissioni di cui all’articolo 18 del decreto legislativo 15 novembre 1993, n. 507. Con la stessa decorrenza l’obbligo previsto da leggi o da regolamenti di affissione da parte delle pubbliche amministrazioni di manifesti contenenti comunicazioni istituzionali è sostituito dalla pubblicazione nei rispettivi siti internet istituzionali. I comuni garantiscono in ogni caso l’affissione da parte degli interessati di manifesti contenenti comunicazioni aventi finalità sociali, comunque prive di rilevanza economica, mettendo a disposizione un congruo numero di impianti a tal fine destinati”</w:t>
      </w:r>
    </w:p>
    <w:p w14:paraId="07B06553" w14:textId="0392B702" w:rsidR="00D14C66" w:rsidRDefault="00D14C66" w:rsidP="00653049">
      <w:pPr>
        <w:jc w:val="both"/>
      </w:pPr>
      <w:r>
        <w:t xml:space="preserve">Come dire, il servizio ormai appartiene al passato e se qualche amministrazione locale intende </w:t>
      </w:r>
      <w:r w:rsidR="002C334A">
        <w:t xml:space="preserve">ancora </w:t>
      </w:r>
      <w:r>
        <w:t xml:space="preserve">proseguire a gestirlo, proceda con una </w:t>
      </w:r>
      <w:r w:rsidR="002C334A">
        <w:t xml:space="preserve">autonoma </w:t>
      </w:r>
      <w:r>
        <w:t>disciplina regolamentare.</w:t>
      </w:r>
    </w:p>
    <w:p w14:paraId="66BA531C" w14:textId="675464DC" w:rsidR="00D14C66" w:rsidRDefault="00D14C66" w:rsidP="00D14C66">
      <w:pPr>
        <w:jc w:val="both"/>
      </w:pPr>
      <w:r>
        <w:t>Ecco che l</w:t>
      </w:r>
      <w:r w:rsidR="00653049">
        <w:t xml:space="preserve">a </w:t>
      </w:r>
      <w:r w:rsidR="002C334A">
        <w:t>gestione</w:t>
      </w:r>
      <w:r w:rsidR="00653049">
        <w:t xml:space="preserve"> del servizio</w:t>
      </w:r>
      <w:r>
        <w:t>,</w:t>
      </w:r>
      <w:r w:rsidR="00653049">
        <w:t xml:space="preserve"> per chi non si avvale della possibilità indicata al comma 836, deve </w:t>
      </w:r>
      <w:r>
        <w:t>necessariamente</w:t>
      </w:r>
      <w:r w:rsidR="00653049">
        <w:t xml:space="preserve">, in assenza di disposizioni normative, fare riferimento al </w:t>
      </w:r>
      <w:r>
        <w:t xml:space="preserve">proprio </w:t>
      </w:r>
      <w:r w:rsidR="00653049">
        <w:t>Regolamento Comunale</w:t>
      </w:r>
      <w:r>
        <w:t xml:space="preserve">, essendo </w:t>
      </w:r>
      <w:r>
        <w:t xml:space="preserve">stata definitivamente delegata ai Comuni. </w:t>
      </w:r>
    </w:p>
    <w:p w14:paraId="4FF287C9" w14:textId="59FB3FAB" w:rsidR="00D14C66" w:rsidRDefault="00D14C66" w:rsidP="00D14C66">
      <w:pPr>
        <w:jc w:val="both"/>
      </w:pPr>
      <w:r>
        <w:t xml:space="preserve">Le disposizioni già previste in materia di Diritti sulle Pubbliche Affissioni regolate dagli articoli 18, 19, 20, 21 e 22 del </w:t>
      </w:r>
      <w:proofErr w:type="spellStart"/>
      <w:r>
        <w:t>D.Lgs</w:t>
      </w:r>
      <w:proofErr w:type="spellEnd"/>
      <w:r>
        <w:t xml:space="preserve"> 507/93 sono state definitivamente abrogate e non possono più trovare diretta </w:t>
      </w:r>
      <w:r>
        <w:t xml:space="preserve">e automatica </w:t>
      </w:r>
      <w:r>
        <w:t xml:space="preserve">applicazione, salvo che non siano </w:t>
      </w:r>
      <w:r w:rsidR="002C334A">
        <w:t xml:space="preserve">state </w:t>
      </w:r>
      <w:r>
        <w:t>ripresentate</w:t>
      </w:r>
      <w:r>
        <w:t>, con la modalità “copia e incolla”</w:t>
      </w:r>
      <w:r>
        <w:t xml:space="preserve"> nell</w:t>
      </w:r>
      <w:r w:rsidR="002C334A">
        <w:t>e</w:t>
      </w:r>
      <w:r>
        <w:t xml:space="preserve"> disciplin</w:t>
      </w:r>
      <w:r w:rsidR="002C334A">
        <w:t>e</w:t>
      </w:r>
      <w:r>
        <w:t xml:space="preserve"> regolamentar</w:t>
      </w:r>
      <w:r w:rsidR="002C334A">
        <w:t>i</w:t>
      </w:r>
      <w:r>
        <w:t xml:space="preserve"> de</w:t>
      </w:r>
      <w:r w:rsidR="002C334A">
        <w:t>i</w:t>
      </w:r>
      <w:r>
        <w:t xml:space="preserve"> singol</w:t>
      </w:r>
      <w:r w:rsidR="002C334A">
        <w:t>i</w:t>
      </w:r>
      <w:r>
        <w:t xml:space="preserve"> Comun</w:t>
      </w:r>
      <w:r w:rsidR="002C334A">
        <w:t>i</w:t>
      </w:r>
      <w:r>
        <w:t>.</w:t>
      </w:r>
    </w:p>
    <w:p w14:paraId="26501698" w14:textId="30F4E4D3" w:rsidR="00D14C66" w:rsidRDefault="00B20325" w:rsidP="00D14C66">
      <w:pPr>
        <w:jc w:val="both"/>
      </w:pPr>
      <w:r>
        <w:t>I diversi</w:t>
      </w:r>
      <w:r w:rsidR="00D14C66">
        <w:t xml:space="preserve"> schem</w:t>
      </w:r>
      <w:r>
        <w:t>i</w:t>
      </w:r>
      <w:r w:rsidR="00D14C66">
        <w:t xml:space="preserve"> di Regolamento</w:t>
      </w:r>
      <w:r>
        <w:t xml:space="preserve"> disponibili</w:t>
      </w:r>
      <w:r w:rsidR="002C334A">
        <w:t>,</w:t>
      </w:r>
      <w:r>
        <w:t xml:space="preserve"> sui quali i Comuni hanno fatto </w:t>
      </w:r>
      <w:r w:rsidR="005604E0">
        <w:t>affidamento,</w:t>
      </w:r>
      <w:r>
        <w:t xml:space="preserve"> sono stati realizzati andando </w:t>
      </w:r>
      <w:r w:rsidR="00D14C66">
        <w:t>proprio in continuità con il passato, al fine di non stravolgere le modalità operative</w:t>
      </w:r>
      <w:r w:rsidR="005604E0">
        <w:t xml:space="preserve"> del servizio</w:t>
      </w:r>
      <w:r w:rsidR="00D14C66">
        <w:t>, e per consentire una continuazione sia di gettito atteso sia</w:t>
      </w:r>
      <w:r>
        <w:t>,</w:t>
      </w:r>
      <w:r w:rsidR="00D14C66">
        <w:t xml:space="preserve"> in ottica dei committenti</w:t>
      </w:r>
      <w:r>
        <w:t>,</w:t>
      </w:r>
      <w:r w:rsidR="00D14C66">
        <w:t xml:space="preserve"> di costi sostenuti per le proprie campagne </w:t>
      </w:r>
      <w:proofErr w:type="spellStart"/>
      <w:r w:rsidR="00D14C66">
        <w:t>affissionistiche</w:t>
      </w:r>
      <w:proofErr w:type="spellEnd"/>
      <w:r w:rsidR="002C334A">
        <w:t xml:space="preserve"> e di regole per la prenotazione degli spazi</w:t>
      </w:r>
      <w:r>
        <w:t xml:space="preserve">. Nella maggior parte dei </w:t>
      </w:r>
      <w:proofErr w:type="gramStart"/>
      <w:r>
        <w:t xml:space="preserve">casi </w:t>
      </w:r>
      <w:r w:rsidR="00D14C66">
        <w:t xml:space="preserve"> è</w:t>
      </w:r>
      <w:proofErr w:type="gramEnd"/>
      <w:r w:rsidR="00D14C66">
        <w:t xml:space="preserve"> stato scelto di riproporre le stesse modalità di esecuzione, </w:t>
      </w:r>
      <w:r>
        <w:t xml:space="preserve">lo stesso </w:t>
      </w:r>
      <w:r w:rsidR="00D14C66">
        <w:t>impianto tariffario</w:t>
      </w:r>
      <w:r w:rsidR="005604E0">
        <w:t xml:space="preserve"> (</w:t>
      </w:r>
      <w:r>
        <w:t>nonostante le difficoltà di una tariffa standard nazionale basata su l’esposizione temporanea giornaliera</w:t>
      </w:r>
      <w:r w:rsidR="005604E0">
        <w:t>)</w:t>
      </w:r>
      <w:r>
        <w:t xml:space="preserve">, </w:t>
      </w:r>
      <w:r w:rsidR="00D14C66">
        <w:t xml:space="preserve"> le </w:t>
      </w:r>
      <w:r>
        <w:t xml:space="preserve">stesse casistiche di </w:t>
      </w:r>
      <w:r w:rsidR="00D14C66">
        <w:t xml:space="preserve">esenzioni e </w:t>
      </w:r>
      <w:r>
        <w:t>di</w:t>
      </w:r>
      <w:r w:rsidR="00D14C66">
        <w:t xml:space="preserve"> riduzioni</w:t>
      </w:r>
      <w:r>
        <w:t xml:space="preserve">, tutto </w:t>
      </w:r>
      <w:r w:rsidR="00D14C66">
        <w:t xml:space="preserve"> secondo quanto era già previsto con il precedente regime</w:t>
      </w:r>
      <w:r w:rsidR="005604E0">
        <w:t xml:space="preserve"> conosciuto con l’acronimo DPA, diritti sulle pubbliche affissioni</w:t>
      </w:r>
      <w:r w:rsidR="00D14C66">
        <w:t>.</w:t>
      </w:r>
    </w:p>
    <w:p w14:paraId="1A575D15" w14:textId="5DE3FC04" w:rsidR="00B20325" w:rsidRDefault="00B20325" w:rsidP="00D14C66">
      <w:pPr>
        <w:jc w:val="both"/>
      </w:pPr>
      <w:r>
        <w:lastRenderedPageBreak/>
        <w:t xml:space="preserve">Del resto, la scelta era praticamente obbligata. Pensiamo a cosa sarebbe successo se ogni Comune avesse disciplinato in modo diverso i criteri per la prenotazione e per l’effettuazione del servizio, se avesse stabilito criteri di calcolo del dovuto utilizzando parametri diversi rispetto al numero di fogli, alle maggiorazioni per la categoria speciale, a quelle per i grandi formati o quella per le affissioni prefissate, o ancora </w:t>
      </w:r>
      <w:r w:rsidR="005604E0">
        <w:t>quella per</w:t>
      </w:r>
      <w:r>
        <w:t xml:space="preserve"> le piccole campagne caratterizzate dalla deficienza numerica.</w:t>
      </w:r>
      <w:r w:rsidR="0063530C">
        <w:t xml:space="preserve"> Sarebbe stata una giungla che avrebbe messo in crisi quei soggetti, e sono tanti, che organizzano uscite di manifesti contemporaneamente in diversi comuni. Pensiamo alle quattordicine su stendardi organizzate dalle primarie compagnie pubblicitarie su tutto il territorio nazionale per il lancio di una promozione commerciale, come sarebbe stato possibile gestire </w:t>
      </w:r>
      <w:r w:rsidR="005604E0">
        <w:t xml:space="preserve">le prenotazioni e i pagamenti con </w:t>
      </w:r>
      <w:r w:rsidR="0063530C">
        <w:t xml:space="preserve">centinaia di regolamenti diversi?  </w:t>
      </w:r>
    </w:p>
    <w:p w14:paraId="39BCFC90" w14:textId="37D7378D" w:rsidR="002A584E" w:rsidRDefault="0063530C" w:rsidP="00D14C66">
      <w:pPr>
        <w:jc w:val="both"/>
      </w:pPr>
      <w:r>
        <w:t xml:space="preserve">In questo senso è stata una fortuna, forse per lo spirito di sopravvivenza o </w:t>
      </w:r>
      <w:r w:rsidR="005604E0">
        <w:t xml:space="preserve">per </w:t>
      </w:r>
      <w:r>
        <w:t xml:space="preserve">quello di adattamento alle novità, </w:t>
      </w:r>
      <w:r w:rsidR="002C334A">
        <w:t xml:space="preserve">che </w:t>
      </w:r>
      <w:r>
        <w:t>quasi tutti i Comuni</w:t>
      </w:r>
      <w:r w:rsidR="005604E0">
        <w:t xml:space="preserve"> abbiano ripreso</w:t>
      </w:r>
      <w:r w:rsidR="00CD21F3">
        <w:t xml:space="preserve"> nella propria disciplina,</w:t>
      </w:r>
      <w:r w:rsidR="005604E0">
        <w:t xml:space="preserve"> le disposizioni contenute nel </w:t>
      </w:r>
      <w:proofErr w:type="spellStart"/>
      <w:r w:rsidR="005604E0">
        <w:t>D.Lgs</w:t>
      </w:r>
      <w:proofErr w:type="spellEnd"/>
      <w:r w:rsidR="005604E0">
        <w:t xml:space="preserve"> 507/93. In una sorta di passaggio indolore dal previgente regime DPA a quello CUP. </w:t>
      </w:r>
    </w:p>
    <w:p w14:paraId="0103C6B2" w14:textId="681B542D" w:rsidR="00B74E91" w:rsidRDefault="005604E0" w:rsidP="00D14C66">
      <w:pPr>
        <w:jc w:val="both"/>
      </w:pPr>
      <w:r>
        <w:t xml:space="preserve">Perché i Comuni, il </w:t>
      </w:r>
      <w:proofErr w:type="gramStart"/>
      <w:r>
        <w:t>1 dicembre</w:t>
      </w:r>
      <w:proofErr w:type="gramEnd"/>
      <w:r>
        <w:t xml:space="preserve"> 2021, non erano pronti, e non lo sono tutt’ora, ad adottare la disposizione del comma 836. Il passaggio dal sistema di affissioni comunali all’utilizzo di forme di diffusione pubblicitaria tecnologicamente avanzata, </w:t>
      </w:r>
      <w:r w:rsidR="002C334A">
        <w:t xml:space="preserve">ci </w:t>
      </w:r>
      <w:r>
        <w:t>sarà</w:t>
      </w:r>
      <w:r w:rsidR="002C334A">
        <w:t>, ma avverrà in modo</w:t>
      </w:r>
      <w:r>
        <w:t xml:space="preserve"> graduale, non davvero legat</w:t>
      </w:r>
      <w:r w:rsidR="002A584E">
        <w:t>o</w:t>
      </w:r>
      <w:r>
        <w:t xml:space="preserve"> ad una </w:t>
      </w:r>
      <w:r w:rsidR="002C334A">
        <w:t xml:space="preserve">singola </w:t>
      </w:r>
      <w:r>
        <w:t>data da utilizzare come switch-off del servizio</w:t>
      </w:r>
      <w:r w:rsidR="002A584E">
        <w:t xml:space="preserve">. Occorre un percorso che porti </w:t>
      </w:r>
      <w:r w:rsidR="00CD21F3">
        <w:t>progressivamente</w:t>
      </w:r>
      <w:r w:rsidR="002A584E">
        <w:t xml:space="preserve"> a ridurre il parco impianti comunale e </w:t>
      </w:r>
      <w:r w:rsidR="00CD21F3">
        <w:t>che nel</w:t>
      </w:r>
      <w:r w:rsidR="002A584E">
        <w:t xml:space="preserve"> contempo agevoli l’installazione di </w:t>
      </w:r>
      <w:r w:rsidR="00B74E91">
        <w:t>impianti che</w:t>
      </w:r>
      <w:r w:rsidR="00CD21F3">
        <w:t xml:space="preserve"> </w:t>
      </w:r>
      <w:r w:rsidR="002C334A">
        <w:t>potranno</w:t>
      </w:r>
      <w:r w:rsidR="00CD21F3">
        <w:t xml:space="preserve"> ospitare i messaggi </w:t>
      </w:r>
      <w:r w:rsidR="002C334A">
        <w:t xml:space="preserve">precedentemente </w:t>
      </w:r>
      <w:r w:rsidR="00CD21F3">
        <w:t xml:space="preserve">diffusi tramite i manifesti cartacei. </w:t>
      </w:r>
    </w:p>
    <w:p w14:paraId="1F30F898" w14:textId="07F6AC75" w:rsidR="0063530C" w:rsidRDefault="00CD21F3" w:rsidP="00D14C66">
      <w:pPr>
        <w:jc w:val="both"/>
      </w:pPr>
      <w:r>
        <w:t xml:space="preserve">Non sarà un percorso breve, molte categorie di fruitori del servizio, hanno risorse limitate e abitudine ad utilizzare i canali comunicativi classici come il manifesto </w:t>
      </w:r>
      <w:r w:rsidR="002C334A">
        <w:t xml:space="preserve">appunto, </w:t>
      </w:r>
      <w:r>
        <w:t xml:space="preserve">esposto nelle strade e nelle piazze dei paesi, dove anche la popolazione più anziana può leggere le comunicazioni diffuse a mezzo stampa </w:t>
      </w:r>
      <w:r w:rsidR="002C334A">
        <w:t>cartacea</w:t>
      </w:r>
      <w:r>
        <w:t>.</w:t>
      </w:r>
    </w:p>
    <w:p w14:paraId="4C1D4656" w14:textId="3B081ECA" w:rsidR="00CD21F3" w:rsidRDefault="00CD21F3" w:rsidP="00D14C66">
      <w:pPr>
        <w:jc w:val="both"/>
      </w:pPr>
      <w:r>
        <w:t xml:space="preserve">Ancora una volta il </w:t>
      </w:r>
      <w:r w:rsidR="00313735">
        <w:t>Legislatore</w:t>
      </w:r>
      <w:r>
        <w:t xml:space="preserve"> ha dimostrato di non essere </w:t>
      </w:r>
      <w:r w:rsidR="00313735">
        <w:t>in sintonia con un sistema che regola i prelievi cosiddetti minori. Una realtà degli enti locali territoriali poco conosciuta a livello centrale che ha portato a</w:t>
      </w:r>
      <w:r w:rsidR="0045009B">
        <w:t xml:space="preserve"> disciplinare</w:t>
      </w:r>
      <w:r w:rsidR="002C334A">
        <w:t>, nel caso del servizio affissioni,</w:t>
      </w:r>
      <w:r w:rsidR="0045009B">
        <w:t xml:space="preserve"> solo l’uscita dal servizio senza </w:t>
      </w:r>
      <w:r w:rsidR="002C334A">
        <w:t>accorgersi</w:t>
      </w:r>
      <w:r w:rsidR="0045009B">
        <w:t xml:space="preserve"> che nessuno o quasi era pronto per questo passaggio. </w:t>
      </w:r>
      <w:r w:rsidR="00313735">
        <w:t xml:space="preserve"> </w:t>
      </w:r>
    </w:p>
    <w:p w14:paraId="1BC26213" w14:textId="116CAA2F" w:rsidR="00A17FDA" w:rsidRDefault="00A17FDA" w:rsidP="00A17FDA">
      <w:pPr>
        <w:jc w:val="both"/>
      </w:pPr>
      <w:r>
        <w:t>Oggi, p</w:t>
      </w:r>
      <w:r>
        <w:t xml:space="preserve">er tutti i Comuni che </w:t>
      </w:r>
      <w:r>
        <w:t xml:space="preserve">proseguono con l’erogazione del servizio si impongono </w:t>
      </w:r>
      <w:r w:rsidR="00C11161">
        <w:t xml:space="preserve">pertanto </w:t>
      </w:r>
      <w:r>
        <w:t xml:space="preserve">nuove valutazioni. Non basta aver replicato la disciplina contenuta nel </w:t>
      </w:r>
      <w:proofErr w:type="spellStart"/>
      <w:r>
        <w:t>D.Lgs</w:t>
      </w:r>
      <w:proofErr w:type="spellEnd"/>
      <w:r>
        <w:t xml:space="preserve"> 507/93, occorre</w:t>
      </w:r>
      <w:r w:rsidR="00C11161">
        <w:t xml:space="preserve"> anche</w:t>
      </w:r>
      <w:r>
        <w:t xml:space="preserve"> ripensare all’impianto tariffario. S</w:t>
      </w:r>
      <w:r>
        <w:t>i impo</w:t>
      </w:r>
      <w:r>
        <w:t>ngono</w:t>
      </w:r>
      <w:r>
        <w:t xml:space="preserve"> nuove valutazioni, sia di carattere</w:t>
      </w:r>
      <w:r>
        <w:t xml:space="preserve"> </w:t>
      </w:r>
      <w:r>
        <w:t xml:space="preserve">economico che di opportunità, necessarie per continuare a erogare </w:t>
      </w:r>
      <w:r>
        <w:t>il</w:t>
      </w:r>
      <w:r>
        <w:t xml:space="preserve"> servizio. Fintanto</w:t>
      </w:r>
      <w:r>
        <w:t xml:space="preserve"> </w:t>
      </w:r>
      <w:r>
        <w:t xml:space="preserve">che le pubbliche affissioni erano </w:t>
      </w:r>
      <w:r w:rsidR="00C11161">
        <w:t xml:space="preserve">infatti </w:t>
      </w:r>
      <w:r>
        <w:t>obbligatorie, e lo erano per tutti i Comuni con popolazione</w:t>
      </w:r>
      <w:r>
        <w:t xml:space="preserve"> </w:t>
      </w:r>
      <w:r>
        <w:t>superiore a tremila abitanti, gli uffici potevano espletarle sopportandone i costi che, a conti fatti,</w:t>
      </w:r>
      <w:r>
        <w:t xml:space="preserve"> </w:t>
      </w:r>
      <w:r>
        <w:t>risultavano ben superiori alle tariffe applicate. Personale impiegato, operai affissatori, automezzi,</w:t>
      </w:r>
      <w:r>
        <w:t xml:space="preserve"> </w:t>
      </w:r>
      <w:r>
        <w:t>colla oltre che spese per mantenere il parco impianti, sono solo alcune delle voci di costo del servizio</w:t>
      </w:r>
      <w:r>
        <w:t xml:space="preserve"> </w:t>
      </w:r>
      <w:r>
        <w:t>che autonomamente non sarebbe potuto sopravvivere se finanziato con il solo gettito derivante dalle</w:t>
      </w:r>
      <w:r>
        <w:t xml:space="preserve"> </w:t>
      </w:r>
      <w:r>
        <w:t>campagne commissionate.</w:t>
      </w:r>
    </w:p>
    <w:p w14:paraId="0B392A51" w14:textId="192D7174" w:rsidR="00A17FDA" w:rsidRDefault="00A17FDA" w:rsidP="00A17FDA">
      <w:pPr>
        <w:jc w:val="both"/>
      </w:pPr>
      <w:r>
        <w:t>Ora</w:t>
      </w:r>
      <w:r>
        <w:t xml:space="preserve">, </w:t>
      </w:r>
      <w:r>
        <w:t xml:space="preserve">è </w:t>
      </w:r>
      <w:r w:rsidR="00F83492">
        <w:t>così necessario</w:t>
      </w:r>
      <w:r>
        <w:t xml:space="preserve"> </w:t>
      </w:r>
      <w:r>
        <w:t>rivedere il proprio sistema tariffario</w:t>
      </w:r>
      <w:r>
        <w:t xml:space="preserve"> </w:t>
      </w:r>
      <w:r>
        <w:t>che viene incastonato</w:t>
      </w:r>
      <w:r>
        <w:t xml:space="preserve"> </w:t>
      </w:r>
      <w:r>
        <w:t xml:space="preserve">nell'ampia autonomia riconosciuta ai Comuni in tema di tariffe del Canone </w:t>
      </w:r>
      <w:r>
        <w:t>U</w:t>
      </w:r>
      <w:r>
        <w:t>nico patrimoniale.</w:t>
      </w:r>
    </w:p>
    <w:p w14:paraId="2ACDAC13" w14:textId="4BBEAAE7" w:rsidR="00653049" w:rsidRDefault="00A17FDA" w:rsidP="00A17FDA">
      <w:pPr>
        <w:jc w:val="both"/>
      </w:pPr>
      <w:r>
        <w:t xml:space="preserve">Le nuove tariffe, </w:t>
      </w:r>
      <w:r>
        <w:t xml:space="preserve">calcolate con difficoltà partendo da una tariffa base giornaliera, </w:t>
      </w:r>
      <w:r>
        <w:t>dovranno in qualche modo assicurare la copertura dei costi, così come previsto</w:t>
      </w:r>
      <w:r w:rsidR="00251C25">
        <w:t xml:space="preserve"> </w:t>
      </w:r>
      <w:r w:rsidR="00251C25" w:rsidRPr="00251C25">
        <w:t>dall'articolo 117 del Tuel in materia di servizi pubblici. Occorre pensare alle pubbliche</w:t>
      </w:r>
      <w:r w:rsidR="00251C25">
        <w:t xml:space="preserve"> </w:t>
      </w:r>
      <w:r w:rsidR="00251C25" w:rsidRPr="00251C25">
        <w:t>affissioni come un servizio pubblico a domanda individuale, che viene utilizzato a richiesta</w:t>
      </w:r>
      <w:r w:rsidR="00251C25">
        <w:t xml:space="preserve"> </w:t>
      </w:r>
      <w:r w:rsidR="00251C25" w:rsidRPr="00251C25">
        <w:t>dall'utente e gestito direttamente dall'ente, o dal suo concessionario, e posto in essere non per</w:t>
      </w:r>
      <w:r w:rsidR="00251C25">
        <w:t xml:space="preserve"> </w:t>
      </w:r>
      <w:r w:rsidR="00251C25" w:rsidRPr="00251C25">
        <w:t>obbligo istituzionale. Il Comune sarà quindi tenuto alla stretta osservanza del principio</w:t>
      </w:r>
      <w:r w:rsidR="00251C25">
        <w:t xml:space="preserve"> </w:t>
      </w:r>
      <w:r w:rsidR="00251C25" w:rsidRPr="00251C25">
        <w:t>dell'equilibrio ex ante tra costi e risorse a copertura, principio che riguarda indistintamente tutti i</w:t>
      </w:r>
      <w:r w:rsidR="00251C25">
        <w:t xml:space="preserve"> </w:t>
      </w:r>
      <w:r w:rsidR="00251C25" w:rsidRPr="00251C25">
        <w:t>servizi pubblici erogati dall'ente locale. Fondamentale sarà costruire una precisa disciplina</w:t>
      </w:r>
      <w:r w:rsidR="00251C25">
        <w:t xml:space="preserve"> </w:t>
      </w:r>
      <w:r w:rsidR="00251C25" w:rsidRPr="00251C25">
        <w:t>regolamentare e un impianto tariffario ponderato in misura tale da assicurare, da una parte</w:t>
      </w:r>
      <w:r w:rsidR="00251C25">
        <w:t xml:space="preserve"> </w:t>
      </w:r>
      <w:r w:rsidR="00251C25" w:rsidRPr="00251C25">
        <w:t xml:space="preserve">l'equilibrio economico-finanziario della gestione del </w:t>
      </w:r>
      <w:r w:rsidR="00251C25" w:rsidRPr="00251C25">
        <w:lastRenderedPageBreak/>
        <w:t>servizio, e dall'altra una variazione in aumento</w:t>
      </w:r>
      <w:r w:rsidR="00251C25">
        <w:t xml:space="preserve"> </w:t>
      </w:r>
      <w:r w:rsidR="00251C25" w:rsidRPr="00251C25">
        <w:t xml:space="preserve">delle tariffe che rimanga entro i margini di una </w:t>
      </w:r>
      <w:r w:rsidR="00F83492">
        <w:t>coerente fruizione del servizio.</w:t>
      </w:r>
    </w:p>
    <w:p w14:paraId="2F4F206F" w14:textId="77777777" w:rsidR="00653049" w:rsidRDefault="00653049" w:rsidP="00653049">
      <w:pPr>
        <w:jc w:val="both"/>
      </w:pPr>
    </w:p>
    <w:p w14:paraId="14DCC4E1" w14:textId="4025238C" w:rsidR="00653049" w:rsidRDefault="00653049" w:rsidP="00653049">
      <w:pPr>
        <w:jc w:val="both"/>
      </w:pPr>
    </w:p>
    <w:sectPr w:rsidR="006530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5C"/>
    <w:rsid w:val="00251C25"/>
    <w:rsid w:val="002A584E"/>
    <w:rsid w:val="002C334A"/>
    <w:rsid w:val="002D280C"/>
    <w:rsid w:val="00313735"/>
    <w:rsid w:val="0039165C"/>
    <w:rsid w:val="003A6B70"/>
    <w:rsid w:val="0045009B"/>
    <w:rsid w:val="005604E0"/>
    <w:rsid w:val="0063530C"/>
    <w:rsid w:val="00653049"/>
    <w:rsid w:val="00A17FDA"/>
    <w:rsid w:val="00B20325"/>
    <w:rsid w:val="00B74E91"/>
    <w:rsid w:val="00C11161"/>
    <w:rsid w:val="00CA7D20"/>
    <w:rsid w:val="00CD21F3"/>
    <w:rsid w:val="00D14C66"/>
    <w:rsid w:val="00E3775F"/>
    <w:rsid w:val="00F83492"/>
    <w:rsid w:val="00FE2B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5680"/>
  <w15:chartTrackingRefBased/>
  <w15:docId w15:val="{EC4C9A8E-1435-41C3-B7A4-094DAF98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8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1291</Words>
  <Characters>7363</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15</cp:revision>
  <dcterms:created xsi:type="dcterms:W3CDTF">2023-05-20T09:02:00Z</dcterms:created>
  <dcterms:modified xsi:type="dcterms:W3CDTF">2023-05-20T10:50:00Z</dcterms:modified>
</cp:coreProperties>
</file>