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9D3E57" w14:textId="4DE0D4EC" w:rsidR="00060149" w:rsidRDefault="002A6CDF">
      <w:pPr>
        <w:rPr>
          <w:sz w:val="24"/>
          <w:szCs w:val="24"/>
        </w:rPr>
      </w:pPr>
      <w:r w:rsidRPr="002A6CDF">
        <w:rPr>
          <w:sz w:val="24"/>
          <w:szCs w:val="24"/>
        </w:rPr>
        <w:t xml:space="preserve">Titolo: la giusta tariffa per </w:t>
      </w:r>
      <w:r w:rsidR="00956F58">
        <w:rPr>
          <w:sz w:val="24"/>
          <w:szCs w:val="24"/>
        </w:rPr>
        <w:t xml:space="preserve">gli </w:t>
      </w:r>
      <w:r w:rsidRPr="002A6CDF">
        <w:rPr>
          <w:sz w:val="24"/>
          <w:szCs w:val="24"/>
        </w:rPr>
        <w:t xml:space="preserve">impianti pubblicitari </w:t>
      </w:r>
      <w:r>
        <w:rPr>
          <w:sz w:val="24"/>
          <w:szCs w:val="24"/>
        </w:rPr>
        <w:t xml:space="preserve">installati </w:t>
      </w:r>
      <w:r w:rsidRPr="002A6CDF">
        <w:rPr>
          <w:sz w:val="24"/>
          <w:szCs w:val="24"/>
        </w:rPr>
        <w:t>su suolo pubblico</w:t>
      </w:r>
    </w:p>
    <w:p w14:paraId="3D547C41" w14:textId="42790834" w:rsidR="000553C8" w:rsidRDefault="000553C8" w:rsidP="00C96DCA">
      <w:pPr>
        <w:jc w:val="both"/>
      </w:pPr>
      <w:r>
        <w:t>Con l’odierno approfondimento analizziamo i</w:t>
      </w:r>
      <w:r w:rsidR="002A6CDF">
        <w:t xml:space="preserve">l comma 820 </w:t>
      </w:r>
      <w:r>
        <w:t xml:space="preserve">della Legge 160/2019. Una particolare </w:t>
      </w:r>
      <w:r w:rsidR="00956F58">
        <w:t>norma</w:t>
      </w:r>
      <w:r>
        <w:t xml:space="preserve"> che </w:t>
      </w:r>
      <w:r w:rsidR="002A6CDF">
        <w:t xml:space="preserve">dispone l’assorbimento del </w:t>
      </w:r>
      <w:r w:rsidR="001E7D2E">
        <w:t>canone</w:t>
      </w:r>
      <w:r w:rsidR="002A6CDF">
        <w:t xml:space="preserve"> </w:t>
      </w:r>
      <w:r w:rsidR="001E7D2E">
        <w:t>legato all’</w:t>
      </w:r>
      <w:r>
        <w:t>occupazione di suolo</w:t>
      </w:r>
      <w:r w:rsidR="002A6CDF">
        <w:t xml:space="preserve"> in quello della</w:t>
      </w:r>
      <w:r>
        <w:t xml:space="preserve"> diffusione</w:t>
      </w:r>
      <w:r w:rsidR="002A6CDF">
        <w:t xml:space="preserve"> pubblicità, quando</w:t>
      </w:r>
      <w:r>
        <w:t>,</w:t>
      </w:r>
      <w:r w:rsidR="002A6CDF">
        <w:t xml:space="preserve"> con il medesimo “oggetto”</w:t>
      </w:r>
      <w:r>
        <w:t>,</w:t>
      </w:r>
      <w:r w:rsidR="002A6CDF">
        <w:t xml:space="preserve"> si realizzano entrambi i presupposti. </w:t>
      </w:r>
    </w:p>
    <w:p w14:paraId="55F7DDD3" w14:textId="1B5DDE06" w:rsidR="000553C8" w:rsidRDefault="000553C8" w:rsidP="00C96DCA">
      <w:pPr>
        <w:jc w:val="both"/>
      </w:pPr>
      <w:r>
        <w:t xml:space="preserve">Il Legislatore ha previsto: </w:t>
      </w:r>
      <w:r w:rsidRPr="000553C8">
        <w:rPr>
          <w:i/>
          <w:iCs/>
        </w:rPr>
        <w:t>“820. L’applicazione del canone dovuto per la diffusione dei messaggi pubblicitari di cui alla lettera b) del comma 819 esclude l’applicazione del canone dovuto per le occupazioni di cui alla lettera a) del medesimo comma.”</w:t>
      </w:r>
    </w:p>
    <w:p w14:paraId="7555AF15" w14:textId="43B93238" w:rsidR="000553C8" w:rsidRDefault="000553C8" w:rsidP="00C96DCA">
      <w:pPr>
        <w:jc w:val="both"/>
      </w:pPr>
      <w:r>
        <w:t xml:space="preserve">Le questioni da valutare per dare sostanza a questa disposizione sono diverse. </w:t>
      </w:r>
      <w:r w:rsidR="003F29F9">
        <w:t>Oggi ne an</w:t>
      </w:r>
      <w:r>
        <w:t>alizz</w:t>
      </w:r>
      <w:r w:rsidR="003F29F9">
        <w:t>iamo</w:t>
      </w:r>
      <w:r>
        <w:t xml:space="preserve"> tre. Innanzi tutto è necessario fissare il perimetro di competenza del comma, nel senso che dobbiamo capire quando si innesca questo meccanismo di esclusione di un presupposto, poi dobbiamo valutare l’impatto sulla determinazione del canone e quindi sulla definizione della tariffa, tenendo in ferma considerazione i principi di beneficio economico e sacrificio imposto alla collettività, infine si dovrà valutare come procedere quando i soggetti attivi dei due presupposti risultano diversi.</w:t>
      </w:r>
    </w:p>
    <w:p w14:paraId="153285B1" w14:textId="1D5902DC" w:rsidR="000553C8" w:rsidRDefault="003A25F5" w:rsidP="00C96DCA">
      <w:pPr>
        <w:jc w:val="both"/>
      </w:pPr>
      <w:r>
        <w:t>La</w:t>
      </w:r>
      <w:r w:rsidR="000553C8">
        <w:t xml:space="preserve"> prim</w:t>
      </w:r>
      <w:r>
        <w:t>a</w:t>
      </w:r>
      <w:r w:rsidR="000553C8">
        <w:t>. Quali sono i casi in cui trova applicazione il comma 820</w:t>
      </w:r>
      <w:r w:rsidR="00065A22">
        <w:t>?</w:t>
      </w:r>
    </w:p>
    <w:p w14:paraId="0FCBFBEE" w14:textId="076A9BEE" w:rsidR="00C96DCA" w:rsidRDefault="00C96DCA" w:rsidP="00C96DCA">
      <w:pPr>
        <w:jc w:val="both"/>
      </w:pPr>
      <w:r>
        <w:t xml:space="preserve">Questa è la prima domanda che dobbiamo porci per affrontare la giusta applicazione del comma 820. Perché dobbiamo capire in quali casi far scattare l’esclusione del canone per la componente suolo pubblico, e in quali casi invece richiedere entrambe. </w:t>
      </w:r>
    </w:p>
    <w:p w14:paraId="73A68430" w14:textId="77777777" w:rsidR="00C96DCA" w:rsidRDefault="00C96DCA" w:rsidP="00C96DCA">
      <w:pPr>
        <w:jc w:val="both"/>
      </w:pPr>
      <w:r>
        <w:t>La discriminante è legata all’ “oggetto” su cui procedere ad applicare il Canone Unico. Quando siamo di fronte ad un impianto pubblicitario, ovvero un manufatto utilizzato e utilizzabile solo per la diffusione di un messaggio pubblicitario, allora possiamo valutare il singolo oggetto che, contemporaneamente realizza i due presupposti: quello pubblicitario per la superficie  espositiva dedicata alla diffusione reclamistica, e quello di occupazione per il plinto che viene realizzato per collocare direttamente su suolo pubblico l’impianto in modo da permettergli di svolgere la sua funzione self-standing.</w:t>
      </w:r>
    </w:p>
    <w:p w14:paraId="54F86D44" w14:textId="6F9136A7" w:rsidR="00C96DCA" w:rsidRDefault="00C96DCA" w:rsidP="00C96DCA">
      <w:pPr>
        <w:jc w:val="both"/>
      </w:pPr>
      <w:r w:rsidRPr="006429A3">
        <w:t xml:space="preserve">Rimangono </w:t>
      </w:r>
      <w:r>
        <w:t xml:space="preserve">invece </w:t>
      </w:r>
      <w:r w:rsidRPr="006429A3">
        <w:t>esclusi</w:t>
      </w:r>
      <w:r>
        <w:t xml:space="preserve"> da questo </w:t>
      </w:r>
      <w:r w:rsidR="00FC7774">
        <w:t xml:space="preserve">assorbimento </w:t>
      </w:r>
      <w:r w:rsidR="00FC7774" w:rsidRPr="006429A3">
        <w:t>i</w:t>
      </w:r>
      <w:r w:rsidRPr="006429A3">
        <w:t xml:space="preserve"> mezzi pubblicitari che diffondono un messaggio espost</w:t>
      </w:r>
      <w:r>
        <w:t>o</w:t>
      </w:r>
      <w:r w:rsidRPr="006429A3">
        <w:t xml:space="preserve"> su altri elementi, come ad esempio</w:t>
      </w:r>
      <w:r>
        <w:t xml:space="preserve"> avviene con</w:t>
      </w:r>
      <w:r w:rsidRPr="006429A3">
        <w:t xml:space="preserve"> </w:t>
      </w:r>
      <w:r>
        <w:t>gli striscioni sulle impalcature edili</w:t>
      </w:r>
      <w:r w:rsidRPr="006429A3">
        <w:t xml:space="preserve">, o </w:t>
      </w:r>
      <w:r>
        <w:t xml:space="preserve">come le scritte </w:t>
      </w:r>
      <w:r w:rsidRPr="006429A3">
        <w:t>su una tenda solare o su altri manufatti che non possono definirsi “impianti pubblicitari”</w:t>
      </w:r>
      <w:r>
        <w:t xml:space="preserve"> in quanto la loro natura è legata a una diversa funzione. Una tenda solare posizionata presso un’attività commerciale, viene realizzata per riparare </w:t>
      </w:r>
      <w:r w:rsidR="003A25F5">
        <w:t xml:space="preserve">dal sole e dalla pioggia </w:t>
      </w:r>
      <w:r>
        <w:t xml:space="preserve">i clienti </w:t>
      </w:r>
      <w:r w:rsidR="00FC7774">
        <w:t>che sostano davanti alle vetrine.</w:t>
      </w:r>
      <w:r>
        <w:t xml:space="preserve"> </w:t>
      </w:r>
      <w:r w:rsidR="00FC7774">
        <w:t xml:space="preserve">Se su questa tenda solare vengono riprodotte scritte, loghi o immagini con funzione di richiamo pubblicitario, questo non </w:t>
      </w:r>
      <w:r w:rsidR="003A25F5">
        <w:t>innescherà</w:t>
      </w:r>
      <w:r w:rsidR="00FC7774">
        <w:t xml:space="preserve"> il </w:t>
      </w:r>
      <w:r w:rsidR="003A25F5">
        <w:t>meccanismo</w:t>
      </w:r>
      <w:r w:rsidR="00FC7774">
        <w:t xml:space="preserve"> di assorbimento voluto dal comma 820, in </w:t>
      </w:r>
      <w:r w:rsidR="003A25F5">
        <w:t>quanto</w:t>
      </w:r>
      <w:r w:rsidR="00FC7774">
        <w:t xml:space="preserve"> saremo di fronte a due oggetti distinti. La tenda solare</w:t>
      </w:r>
      <w:r w:rsidR="003A25F5">
        <w:t xml:space="preserve">, che dovrà scontare la componente di occupazione </w:t>
      </w:r>
      <w:r w:rsidR="003F29F9">
        <w:t>soprassuolo, e</w:t>
      </w:r>
      <w:r w:rsidR="00FC7774">
        <w:t xml:space="preserve"> la scritta pubblicitaria</w:t>
      </w:r>
      <w:r w:rsidR="003A25F5">
        <w:t xml:space="preserve"> che invece sconterà il canone per la componente pubblicitaria</w:t>
      </w:r>
      <w:r w:rsidR="00FC7774">
        <w:t>. Stessa valutazione per lo striscione esposto presso un cantiere edile. Il ponteggio svolge una funzione legata all’esecuzione di lavori di edilizia. La circostanza che vede esporre sulle sue campate degli striscioni pubblicitari che richiamano ad esempio gli artigiani che lavoro presso il cantiere, o la promozione della vendita degli immobili realizzati, non comporterà in nessun caso l’applicazione del comma 820. Verranno pertanto richiesti entram</w:t>
      </w:r>
      <w:r w:rsidR="003A25F5">
        <w:t>b</w:t>
      </w:r>
      <w:r w:rsidR="00FC7774">
        <w:t xml:space="preserve">i i presupposti </w:t>
      </w:r>
      <w:r>
        <w:t>per i diversi oggetti imponibili</w:t>
      </w:r>
      <w:r w:rsidR="003A25F5">
        <w:t>, l’occupazione del suolo per il ponteggio e la diffusione pubblicitaria per gli striscioni.</w:t>
      </w:r>
    </w:p>
    <w:p w14:paraId="4130D858" w14:textId="3E3975B6" w:rsidR="00065A22" w:rsidRDefault="003A25F5" w:rsidP="00065A22">
      <w:r>
        <w:t>La</w:t>
      </w:r>
      <w:r w:rsidR="00065A22">
        <w:t xml:space="preserve"> second</w:t>
      </w:r>
      <w:r>
        <w:t>a</w:t>
      </w:r>
      <w:r w:rsidR="00065A22">
        <w:t xml:space="preserve">. La tariffa da applicare </w:t>
      </w:r>
      <w:r w:rsidR="00C971CF">
        <w:t>agli impianti</w:t>
      </w:r>
      <w:r w:rsidR="002A6CDF">
        <w:t xml:space="preserve"> pubblicitari che occupano suolo pubblico</w:t>
      </w:r>
      <w:r w:rsidR="00065A22">
        <w:t xml:space="preserve"> può essere diversa rispetto a quella applicata quando i mezzi sono collocati in area privata?</w:t>
      </w:r>
    </w:p>
    <w:p w14:paraId="1D1C0FF3" w14:textId="77777777" w:rsidR="00F66AFA" w:rsidRDefault="003A25F5" w:rsidP="00007662">
      <w:pPr>
        <w:jc w:val="both"/>
      </w:pPr>
      <w:r>
        <w:t xml:space="preserve">Dopo aver valutato in quali ipotesi </w:t>
      </w:r>
      <w:r w:rsidR="00CE0EBB">
        <w:t xml:space="preserve">applicare il disposto del comma 820, dobbiamo capire se sarà possibile applicare una specifica tariffa dedicata proprio alle esposizioni </w:t>
      </w:r>
      <w:r w:rsidR="00007662">
        <w:t>pubblicitarie</w:t>
      </w:r>
      <w:r w:rsidR="00CE0EBB">
        <w:t xml:space="preserve"> effettuate su suolo pubblico. Nell’ampia potestà regolamentare riconosciuta agli enti locali, sarà assolutamente possibile procedere in questo senso, forti di una motivazione che parte dal diverso sacrificio che si impone alla collettività per la presenza di un impianto pubblicitario. È evidente infatti </w:t>
      </w:r>
      <w:r w:rsidR="00007662">
        <w:t>come</w:t>
      </w:r>
      <w:r w:rsidR="00CE0EBB">
        <w:t xml:space="preserve"> lo stesso impianto esposto su un marciapiede </w:t>
      </w:r>
      <w:r w:rsidR="00CE0EBB">
        <w:lastRenderedPageBreak/>
        <w:t xml:space="preserve">pubblico rispetto ad esempio </w:t>
      </w:r>
      <w:r w:rsidR="00007662">
        <w:t>ad una esposizione su</w:t>
      </w:r>
      <w:r w:rsidR="00CE0EBB">
        <w:t xml:space="preserve"> una facciata di uno stabile privato e visibile dalla pubblica via, generi un impegno diverso a carico della libera fruizione degli spazi pubblici. Questa differenza così evidente, merita una valutazione da parte della Pubblica Amministrazione chiamata a</w:t>
      </w:r>
      <w:r w:rsidR="00007662">
        <w:t xml:space="preserve"> definire l’impianto tariffario del Canone Unico. Prevedere un coefficiente moltiplicatore diverso da applicare alla tipologia di impianto su area pubblica, oppure </w:t>
      </w:r>
      <w:r w:rsidR="00017FDA">
        <w:t xml:space="preserve">prevedere una maggiorazione fissa per ogni impianto ancorato su suolo pubblico, rappresenta una soluzione che garantisce una giusta misura di indennizzo per la sottrazione di suolo pubblico a beneficio di una </w:t>
      </w:r>
      <w:r w:rsidR="00F66AFA">
        <w:t xml:space="preserve">singola </w:t>
      </w:r>
      <w:r w:rsidR="00017FDA">
        <w:t xml:space="preserve">iniziativa economica privata. </w:t>
      </w:r>
    </w:p>
    <w:p w14:paraId="2B65D747" w14:textId="7D475D45" w:rsidR="003A25F5" w:rsidRDefault="00017FDA" w:rsidP="00007662">
      <w:pPr>
        <w:jc w:val="both"/>
      </w:pPr>
      <w:r>
        <w:t xml:space="preserve">Questi due possibili correttivi alla tariffa base utilizzata per la pubblicità che comporta anche una sottrazione di suolo pubblico, </w:t>
      </w:r>
      <w:r w:rsidR="00F66AFA">
        <w:t xml:space="preserve">dovrebbe </w:t>
      </w:r>
      <w:r>
        <w:t>disincentiva</w:t>
      </w:r>
      <w:r w:rsidR="00F66AFA">
        <w:t>re</w:t>
      </w:r>
      <w:r>
        <w:t xml:space="preserve"> lo sfruttamento di spazi pubblici, privilegiando l’utilizzo di spazi privati. Infatti </w:t>
      </w:r>
      <w:r w:rsidR="00F66AFA">
        <w:t xml:space="preserve">senza questa previsione di </w:t>
      </w:r>
      <w:r>
        <w:t xml:space="preserve">maggiorazione, gli operatori pubblicitari sarebbero portati ad esporre sempre su suolo pubblico </w:t>
      </w:r>
      <w:r w:rsidR="00F66AFA">
        <w:t>anziché</w:t>
      </w:r>
      <w:r>
        <w:t xml:space="preserve"> cercare soluzioni in aree private dove spesso è richiesto dal </w:t>
      </w:r>
      <w:r w:rsidR="00F66AFA">
        <w:t>proprietario</w:t>
      </w:r>
      <w:r>
        <w:t xml:space="preserve"> dell’area una forma di indennizzo </w:t>
      </w:r>
      <w:r w:rsidR="00F66AFA">
        <w:t>in cambio del</w:t>
      </w:r>
      <w:r>
        <w:t>lo sfruttamento</w:t>
      </w:r>
      <w:r w:rsidR="00F66AFA">
        <w:t xml:space="preserve"> della posizione. </w:t>
      </w:r>
      <w:r>
        <w:t xml:space="preserve">   </w:t>
      </w:r>
    </w:p>
    <w:p w14:paraId="1A7F7578" w14:textId="2B725CB9" w:rsidR="00065A22" w:rsidRDefault="003A25F5" w:rsidP="00065A22">
      <w:pPr>
        <w:jc w:val="both"/>
      </w:pPr>
      <w:r>
        <w:t>la</w:t>
      </w:r>
      <w:r w:rsidR="00065A22">
        <w:t xml:space="preserve"> terz</w:t>
      </w:r>
      <w:r>
        <w:t>a</w:t>
      </w:r>
      <w:r w:rsidR="00065A22">
        <w:t>. Come comportarsi quando i soggetti attivi dei due presupposti risultano diversi?</w:t>
      </w:r>
    </w:p>
    <w:p w14:paraId="57EEC0F9" w14:textId="7FA93C69" w:rsidR="00065A22" w:rsidRDefault="00065A22" w:rsidP="00065A22">
      <w:pPr>
        <w:jc w:val="both"/>
      </w:pPr>
      <w:r>
        <w:t xml:space="preserve">La nozione di Canone “unico” non trova applicazione nel senso della fusione delle quote oggetto di prelievo di competenza di enti diversi, non essendo tale confluenza prevista da alcun passo della legge 160/2019. Quindi, la Provincia o la Città Metropolitana continuerà, come in passato, a riscuotere il canone relativo alle occupazioni su strade provinciali fuori dai centri abitati e sui tratti delle strade provinciali che corrono all'interno dei centri abitati dei Comuni con popolazione inferiore a 10.000 abitanti. </w:t>
      </w:r>
    </w:p>
    <w:p w14:paraId="7D6DF981" w14:textId="77777777" w:rsidR="00065A22" w:rsidRDefault="00065A22" w:rsidP="00065A22">
      <w:pPr>
        <w:jc w:val="both"/>
      </w:pPr>
      <w:r>
        <w:t xml:space="preserve">Il comma 819 chiarisce che il canone è costituito da due autonomi presupposti, ovvero, quello relativo all'occupazione delle aree appartenenti al demanio o al patrimonio indisponibile degli enti e degli spazi soprastanti o sottostanti il suolo pubblico,  e quello relativo alla diffusione di messaggi pubblicitari, mediante impianti installati su aree appartenenti al demanio o al patrimonio indisponibile degli enti, su beni privati laddove siano visibili da luogo pubblico o aperto al pubblico del territorio comunale, ovvero all’esterno di veicoli adibiti a uso pubblico o a uso privato. </w:t>
      </w:r>
    </w:p>
    <w:p w14:paraId="7F09BD06" w14:textId="74FBEC7B" w:rsidR="00065A22" w:rsidRDefault="00065A22" w:rsidP="00065A22">
      <w:pPr>
        <w:jc w:val="both"/>
      </w:pPr>
      <w:r>
        <w:t xml:space="preserve">Il canone spettante alla Provincia o alla Città metropolitana ed il canone spettante al Comune si basano su due presupposti autonomi e diversi; ogni ente è soggetto attivo ed ha </w:t>
      </w:r>
      <w:r w:rsidR="003F29F9">
        <w:t>potest</w:t>
      </w:r>
      <w:r>
        <w:t xml:space="preserve">à regolamentare e tariffaria. </w:t>
      </w:r>
    </w:p>
    <w:p w14:paraId="33A5966D" w14:textId="6C71BA6B" w:rsidR="00065A22" w:rsidRDefault="00065A22" w:rsidP="00065A22">
      <w:pPr>
        <w:jc w:val="both"/>
      </w:pPr>
      <w:r>
        <w:t>Ecco che il principio dell’assorbimento stabilito dal comma 820 non può che valere nei confronti di un unico soggetto attivo, e quindi solo nei confronti del Comune, unica ipotesi in cui la medesima occupazione può dar luogo sia ad un prelievo collegato all’occupazione sia ad un prelievo collegato alla diffusione di messaggi pubblicitari.</w:t>
      </w:r>
    </w:p>
    <w:p w14:paraId="31CAF423" w14:textId="2C664F29" w:rsidR="002A6CDF" w:rsidRPr="002A6CDF" w:rsidRDefault="00CC3AD0" w:rsidP="00956F58">
      <w:pPr>
        <w:jc w:val="both"/>
        <w:rPr>
          <w:sz w:val="24"/>
          <w:szCs w:val="24"/>
        </w:rPr>
      </w:pPr>
      <w:r>
        <w:t>Secondo questa logica,</w:t>
      </w:r>
      <w:r w:rsidRPr="00CC3AD0">
        <w:t xml:space="preserve"> le occupazioni di suolo pubblico con mezzi pubblicitari su strade provinciali, sia al di fuori dei centri abitati sia all’interno dei centri abitati di Comuni con popolazione inferiore a 10 mila abitanti, </w:t>
      </w:r>
      <w:r>
        <w:t>saranno</w:t>
      </w:r>
      <w:r w:rsidRPr="00CC3AD0">
        <w:t xml:space="preserve"> soggette sia al canone per l’occupazione di suolo pubblico, dovuto alla Provincia o alla Città metropolitana, sia al canone per la diffusione dei messaggi pubblicitari, dovuto al Comune, in continuità con i precedenti regimi di tassazione; </w:t>
      </w:r>
      <w:r>
        <w:t xml:space="preserve">mentre </w:t>
      </w:r>
      <w:r w:rsidRPr="00CC3AD0">
        <w:t xml:space="preserve">le occupazioni con impianti pubblicitari su suolo comunale </w:t>
      </w:r>
      <w:r>
        <w:t>daranno</w:t>
      </w:r>
      <w:r w:rsidRPr="00CC3AD0">
        <w:t xml:space="preserve"> luogo all’applicazione del solo canone per la diffusione dei messaggi pubblicitari, e non anche a quello per l’occupazione del suolo pubblico</w:t>
      </w:r>
      <w:r>
        <w:t xml:space="preserve"> a favore del Comune.</w:t>
      </w:r>
    </w:p>
    <w:sectPr w:rsidR="002A6CDF" w:rsidRPr="002A6CD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C68"/>
    <w:rsid w:val="00007662"/>
    <w:rsid w:val="00017FDA"/>
    <w:rsid w:val="000553C8"/>
    <w:rsid w:val="00060149"/>
    <w:rsid w:val="00065A22"/>
    <w:rsid w:val="001E7D2E"/>
    <w:rsid w:val="002A6CDF"/>
    <w:rsid w:val="003A25F5"/>
    <w:rsid w:val="003F29F9"/>
    <w:rsid w:val="006D4C68"/>
    <w:rsid w:val="006F759A"/>
    <w:rsid w:val="00956F58"/>
    <w:rsid w:val="00C96DCA"/>
    <w:rsid w:val="00C971CF"/>
    <w:rsid w:val="00CC3AD0"/>
    <w:rsid w:val="00CE0EBB"/>
    <w:rsid w:val="00F66AFA"/>
    <w:rsid w:val="00FC777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19AE5"/>
  <w15:chartTrackingRefBased/>
  <w15:docId w15:val="{0AE3F7CC-F765-4724-94DA-4AB07E725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703940">
      <w:bodyDiv w:val="1"/>
      <w:marLeft w:val="0"/>
      <w:marRight w:val="0"/>
      <w:marTop w:val="0"/>
      <w:marBottom w:val="0"/>
      <w:divBdr>
        <w:top w:val="none" w:sz="0" w:space="0" w:color="auto"/>
        <w:left w:val="none" w:sz="0" w:space="0" w:color="auto"/>
        <w:bottom w:val="none" w:sz="0" w:space="0" w:color="auto"/>
        <w:right w:val="none" w:sz="0" w:space="0" w:color="auto"/>
      </w:divBdr>
      <w:divsChild>
        <w:div w:id="549147631">
          <w:marLeft w:val="547"/>
          <w:marRight w:val="0"/>
          <w:marTop w:val="0"/>
          <w:marBottom w:val="0"/>
          <w:divBdr>
            <w:top w:val="none" w:sz="0" w:space="0" w:color="auto"/>
            <w:left w:val="none" w:sz="0" w:space="0" w:color="auto"/>
            <w:bottom w:val="none" w:sz="0" w:space="0" w:color="auto"/>
            <w:right w:val="none" w:sz="0" w:space="0" w:color="auto"/>
          </w:divBdr>
        </w:div>
      </w:divsChild>
    </w:div>
    <w:div w:id="1804614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2</Pages>
  <Words>1209</Words>
  <Characters>6896</Characters>
  <Application>Microsoft Office Word</Application>
  <DocSecurity>0</DocSecurity>
  <Lines>57</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9</cp:revision>
  <dcterms:created xsi:type="dcterms:W3CDTF">2023-05-26T07:27:00Z</dcterms:created>
  <dcterms:modified xsi:type="dcterms:W3CDTF">2023-05-28T17:09:00Z</dcterms:modified>
</cp:coreProperties>
</file>