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68D7" w14:textId="7F2540E3" w:rsidR="006672EA" w:rsidRDefault="00B85F06">
      <w:r>
        <w:t xml:space="preserve">Titolo: </w:t>
      </w:r>
      <w:r w:rsidRPr="00B85F06">
        <w:t>la modifica del comma 825 articolo 1 L.1602019 non è norma di interpretazione autentica</w:t>
      </w:r>
    </w:p>
    <w:p w14:paraId="083B7DED" w14:textId="6E88EFEA" w:rsidR="00B85F06" w:rsidRDefault="00B85F06">
      <w:r>
        <w:t>Di Alessandro Merciari</w:t>
      </w:r>
    </w:p>
    <w:p w14:paraId="603CE22B" w14:textId="77777777" w:rsidR="00BA4C0D" w:rsidRDefault="00BA4C0D"/>
    <w:p w14:paraId="73BE39ED" w14:textId="306EE45F" w:rsidR="00BA4C0D" w:rsidRDefault="00BA4C0D" w:rsidP="00BA4C0D">
      <w:pPr>
        <w:jc w:val="both"/>
      </w:pPr>
      <w:r>
        <w:t>La novità più rilevante contenuta nella Legge Finanziaria 2025 in materia di CUP è rappresentata senza dubbio dall’introduzione di un periodo in chiusura del comma 825 della Legge 160/2019, dettando un nuovo criterio di calcolo del canone da riservare agli impianti caratterizzati dalla presenza di plurimi messaggi, tipicamente le frecce direzioni, ovvero le pre-insegne utilizzando la terminologia corretta fissata nel Regolamento di attuazione del Codice della Strada.</w:t>
      </w:r>
    </w:p>
    <w:p w14:paraId="7060057B" w14:textId="41EBB934" w:rsidR="003E5F4E" w:rsidRPr="003E5F4E" w:rsidRDefault="00BA4C0D" w:rsidP="003E5F4E">
      <w:pPr>
        <w:jc w:val="both"/>
        <w:rPr>
          <w:i/>
          <w:iCs/>
        </w:rPr>
      </w:pPr>
      <w:r>
        <w:t>Il Legislatore prevede nella parte finale del comma 757: “</w:t>
      </w:r>
      <w:r w:rsidR="003E5F4E" w:rsidRPr="003E5F4E">
        <w:rPr>
          <w:i/>
          <w:iCs/>
        </w:rPr>
        <w:t xml:space="preserve">c) al comma 825: </w:t>
      </w:r>
      <w:r w:rsidR="003E5F4E">
        <w:rPr>
          <w:i/>
          <w:iCs/>
        </w:rPr>
        <w:t>…</w:t>
      </w:r>
      <w:r w:rsidR="003E5F4E" w:rsidRPr="003E5F4E">
        <w:rPr>
          <w:i/>
          <w:iCs/>
        </w:rPr>
        <w:t xml:space="preserve"> 2) sono aggiunti, in fine, i seguenti periodi: «In caso di installazione, su un unico impianto pubblicitario, di una pluralità di segnali turistici o di territorio o di frecce direzionali, anche riferiti a soggetti e ad aziende diversi, la superficie assoggettabile al canone unico patrimoniale è quella dell'intero impianto oggetto della concessione o dell'autorizzazione. Nell'ipotesi in cui i titolari del provvedimento di concessione o di autorizzazione all'installazione dell'impianto siano diversi, il canone è liquidato distintamente, in proporzione alla superficie del segnale o del gruppo segnaletico posto nella disponibilità di ciascuno di essi».”</w:t>
      </w:r>
    </w:p>
    <w:p w14:paraId="79D9B907" w14:textId="2EBF2A9C" w:rsidR="00BA4C0D" w:rsidRDefault="00BA4C0D" w:rsidP="00BA4C0D">
      <w:pPr>
        <w:jc w:val="both"/>
      </w:pPr>
    </w:p>
    <w:sectPr w:rsidR="00BA4C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DA"/>
    <w:rsid w:val="00366798"/>
    <w:rsid w:val="003E5F4E"/>
    <w:rsid w:val="0065548F"/>
    <w:rsid w:val="006672EA"/>
    <w:rsid w:val="00B85F06"/>
    <w:rsid w:val="00BA4C0D"/>
    <w:rsid w:val="00BC48DA"/>
    <w:rsid w:val="00F3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E9711"/>
  <w15:chartTrackingRefBased/>
  <w15:docId w15:val="{598BE490-9746-4935-B296-CD6352B3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4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4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4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4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4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48D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48D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48D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48D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48D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48D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48D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48D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48D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4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48D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4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5</cp:revision>
  <dcterms:created xsi:type="dcterms:W3CDTF">2025-01-16T14:37:00Z</dcterms:created>
  <dcterms:modified xsi:type="dcterms:W3CDTF">2025-01-16T14:43:00Z</dcterms:modified>
</cp:coreProperties>
</file>