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B05C" w14:textId="73A9A119" w:rsidR="006672EA" w:rsidRDefault="00901E7C">
      <w:r>
        <w:t>Titolo: la pubblicità realizzata lungo le strade statali rimane di esclusiva competenza del Comune</w:t>
      </w:r>
    </w:p>
    <w:p w14:paraId="16405D88" w14:textId="37AFFE1B" w:rsidR="00901E7C" w:rsidRDefault="00901E7C">
      <w:r>
        <w:t>Di Alessandro Merciari</w:t>
      </w:r>
    </w:p>
    <w:p w14:paraId="1B69103B" w14:textId="77777777" w:rsidR="00C064C0" w:rsidRDefault="00C064C0" w:rsidP="00C064C0"/>
    <w:p w14:paraId="580874F9" w14:textId="7964D25A" w:rsidR="00C064C0" w:rsidRDefault="00C064C0" w:rsidP="00BD1408">
      <w:pPr>
        <w:jc w:val="both"/>
      </w:pPr>
      <w:r>
        <w:t xml:space="preserve">Interessante sentenza pronunciata dal Tribunale di </w:t>
      </w:r>
      <w:r w:rsidR="00BD1408" w:rsidRPr="00BD1408">
        <w:t>Tempio Pausania</w:t>
      </w:r>
      <w:r w:rsidR="00BD1408">
        <w:t xml:space="preserve"> lo scorso 20 ottobre sul contenzioso aperto da una ditta di cartellonistica specializzata nella gestione di spazi </w:t>
      </w:r>
      <w:r w:rsidR="004A1434">
        <w:t xml:space="preserve">pubblicitari </w:t>
      </w:r>
      <w:r w:rsidR="00BD1408">
        <w:t xml:space="preserve">lungo le </w:t>
      </w:r>
      <w:r w:rsidR="004A1434">
        <w:t xml:space="preserve">principali </w:t>
      </w:r>
      <w:r w:rsidR="00BD1408">
        <w:t xml:space="preserve">direttrici che attraversano i territori comunali della Sardegna e non solo. </w:t>
      </w:r>
    </w:p>
    <w:p w14:paraId="218B4670" w14:textId="12A2A7E2" w:rsidR="00BD1408" w:rsidRDefault="00BD1408" w:rsidP="00BD1408">
      <w:pPr>
        <w:jc w:val="both"/>
      </w:pPr>
      <w:r>
        <w:t xml:space="preserve">Veniva opposto un Avviso di Accertamento emesso per il mancato pagamento di mezzi pubblicitari </w:t>
      </w:r>
      <w:r w:rsidR="001C1A15">
        <w:t>alcuni dei quali</w:t>
      </w:r>
      <w:r w:rsidR="00C27A25">
        <w:t xml:space="preserve"> </w:t>
      </w:r>
      <w:r>
        <w:t>installati lungo l</w:t>
      </w:r>
      <w:r w:rsidR="00094529">
        <w:t>e</w:t>
      </w:r>
      <w:r>
        <w:t xml:space="preserve"> Strad</w:t>
      </w:r>
      <w:r w:rsidR="00094529">
        <w:t>e</w:t>
      </w:r>
      <w:r>
        <w:t xml:space="preserve"> </w:t>
      </w:r>
      <w:r w:rsidR="001C1A15">
        <w:t>Statali che</w:t>
      </w:r>
      <w:r>
        <w:t xml:space="preserve"> attraversa</w:t>
      </w:r>
      <w:r w:rsidR="00C27A25">
        <w:t>no</w:t>
      </w:r>
      <w:r>
        <w:t xml:space="preserve"> il territorio </w:t>
      </w:r>
      <w:r w:rsidR="001C1A15">
        <w:t>comunale</w:t>
      </w:r>
      <w:r w:rsidR="002958A5">
        <w:t>.</w:t>
      </w:r>
    </w:p>
    <w:p w14:paraId="40507CFA" w14:textId="6A830B4B" w:rsidR="002958A5" w:rsidRDefault="002958A5" w:rsidP="00BD1408">
      <w:pPr>
        <w:jc w:val="both"/>
      </w:pPr>
      <w:r>
        <w:t xml:space="preserve">La questione è </w:t>
      </w:r>
      <w:r w:rsidR="00094529">
        <w:t xml:space="preserve">già </w:t>
      </w:r>
      <w:r>
        <w:t xml:space="preserve">stata più volte affrontata </w:t>
      </w:r>
      <w:r w:rsidR="001C1A15">
        <w:t xml:space="preserve">dagli organi di giustizia </w:t>
      </w:r>
      <w:r>
        <w:t xml:space="preserve">con esiti </w:t>
      </w:r>
      <w:r w:rsidR="00094529">
        <w:t>a volte contrastanti</w:t>
      </w:r>
      <w:r w:rsidR="001C1A15">
        <w:t>. T</w:t>
      </w:r>
      <w:r w:rsidR="00094529">
        <w:t xml:space="preserve">uttavia possiamo ritenere come </w:t>
      </w:r>
      <w:r w:rsidR="001C1A15">
        <w:t>si stia formando un</w:t>
      </w:r>
      <w:r w:rsidR="00094529">
        <w:t xml:space="preserve"> orientamento che vuole il presupposto del Canone Unico</w:t>
      </w:r>
      <w:r w:rsidR="001C1A15">
        <w:t xml:space="preserve"> </w:t>
      </w:r>
      <w:r w:rsidR="00094529">
        <w:t>per le iniziative pubblicitarie</w:t>
      </w:r>
      <w:r w:rsidR="001C1A15">
        <w:t xml:space="preserve">, come naturale che </w:t>
      </w:r>
      <w:proofErr w:type="gramStart"/>
      <w:r w:rsidR="001C1A15">
        <w:t xml:space="preserve">sia,  </w:t>
      </w:r>
      <w:r w:rsidR="00094529">
        <w:t>di</w:t>
      </w:r>
      <w:proofErr w:type="gramEnd"/>
      <w:r w:rsidR="00094529">
        <w:t xml:space="preserve"> esclusiva competenza comunale, andando così in continuità con il passato.</w:t>
      </w:r>
    </w:p>
    <w:p w14:paraId="603A77F7" w14:textId="354ACC69" w:rsidR="00094529" w:rsidRDefault="00094529" w:rsidP="00BD1408">
      <w:pPr>
        <w:jc w:val="both"/>
      </w:pPr>
      <w:r>
        <w:t>Oggi</w:t>
      </w:r>
      <w:r w:rsidR="003B2314">
        <w:t xml:space="preserve"> infatti</w:t>
      </w:r>
      <w:r>
        <w:t xml:space="preserve"> ipotizzare che con l’introduzione della nuova entrata il Legislatore abbia voluto trasferire per alcune tipologie la soggettività attiva da un Ente locale all’altro appare errato e contrario ai principi generali che hanno ispirato questo cambiamento. </w:t>
      </w:r>
    </w:p>
    <w:p w14:paraId="17D0212F" w14:textId="77777777" w:rsidR="00217ABF" w:rsidRDefault="00217ABF" w:rsidP="00217ABF">
      <w:pPr>
        <w:jc w:val="both"/>
      </w:pPr>
      <w:r>
        <w:t xml:space="preserve">Più volte in questi anni abbiamo scritto come il Legislatore, nell’introdurre la disciplina del Canone Unico, non sia riuscito a ben delimitare le competenze tra i soggetti attivi individuati al comma 816 della legge 160/2019, ossia i Comuni, le Province e le Città Metropolitane. A creare incertezza è stato sicuramente il testo del comma 818 con il quale è stata definita la competenza comunale comprendendo tutti i tratti di strada situati all'interno di centri abitati con popolazione superiore a 10mila abitanti. Definizione criptica e incompleta, oggetto peraltro di recente modifica, che ha generato parecchi dubbi sulla sua reale portata. </w:t>
      </w:r>
    </w:p>
    <w:p w14:paraId="112C585C" w14:textId="2695B795" w:rsidR="002546BB" w:rsidRDefault="00217ABF" w:rsidP="00217ABF">
      <w:pPr>
        <w:jc w:val="both"/>
      </w:pPr>
      <w:r>
        <w:t>Nonostante il testo letterale della norma, si era già diffuso l’orientamento che voleva la componente pubblicitaria di totale competenza dei comuni, su tutto il territorio comunale, indipendentemente dalla proprietà della strada da cui viene diffuso il messaggio. In questo senso il comma 818 è sempre stato letto come rivolto esclusivamente alla componente di presupposto individuata alla lettera A del comma 819 della legge 160/2019, ossia il presupposto legato all’occupazione di suolo pubblico.</w:t>
      </w:r>
    </w:p>
    <w:p w14:paraId="649FBBDB" w14:textId="19416A44" w:rsidR="00217ABF" w:rsidRDefault="00217ABF" w:rsidP="00217ABF">
      <w:pPr>
        <w:jc w:val="both"/>
      </w:pPr>
      <w:r>
        <w:t>Recentemente, prima della sentenza oggetto dell’odierno approfondimento, troviamo la</w:t>
      </w:r>
      <w:r w:rsidR="008C2647">
        <w:t xml:space="preserve"> </w:t>
      </w:r>
      <w:r>
        <w:t xml:space="preserve">sentenza della Corte d’appello di Ancona, la numero 366 del 26 febbraio 2025 con la quale i giudici hanno respinto l’appello di una azienda pubblicitaria che si opponeva al pagamento del Canone Unico a due distinti enti per lo stesso manufatto. </w:t>
      </w:r>
    </w:p>
    <w:p w14:paraId="5EF6AFFA" w14:textId="77777777" w:rsidR="00217ABF" w:rsidRDefault="00217ABF" w:rsidP="00217ABF">
      <w:pPr>
        <w:jc w:val="both"/>
      </w:pPr>
      <w:r>
        <w:t xml:space="preserve">L’appellante riteneva che poiché gli impianti pubblicitari erano stati autorizzati dalla Provincia e si trovavano su strade appartenenti al demanio provinciale, non sussisteva la titolarità del Comune appellato ad esigere il canone unico. </w:t>
      </w:r>
    </w:p>
    <w:p w14:paraId="691A82EA" w14:textId="50A9E624" w:rsidR="00217ABF" w:rsidRDefault="00217ABF" w:rsidP="00217ABF">
      <w:pPr>
        <w:jc w:val="both"/>
      </w:pPr>
      <w:r>
        <w:t>Ritiene tuttavia la Corte che la nuova normativa andasse interpretata a favore del mantenimento del precedente assetto normativo - con riguardo alla soggettività tributaria del Comune, unico attivamente legittimato a pretendere e riscuotere l'imposta per i messaggi pubblicitari diffusi sul territorio comunale (l'ex Imposta Comunale sulla Pubblicità) e ciò proprio facendo riferimento a quanto disposto al comma 819 dell'art. 1 della Lg. n. 160/2019 che mantiene, infatti, nettamente distinti i presupposti impositivi del canone.</w:t>
      </w:r>
    </w:p>
    <w:p w14:paraId="323F7390" w14:textId="7368CD14" w:rsidR="00FB5A10" w:rsidRPr="00350E33" w:rsidRDefault="00FB5A10" w:rsidP="00FB5A10">
      <w:pPr>
        <w:jc w:val="both"/>
        <w:rPr>
          <w:rFonts w:cstheme="minorHAnsi"/>
        </w:rPr>
      </w:pPr>
      <w:r w:rsidRPr="00350E33">
        <w:rPr>
          <w:rFonts w:cstheme="minorHAnsi"/>
        </w:rPr>
        <w:t xml:space="preserve">In linea con questa visione, </w:t>
      </w:r>
      <w:r>
        <w:rPr>
          <w:rFonts w:cstheme="minorHAnsi"/>
        </w:rPr>
        <w:t xml:space="preserve">ricordiamo </w:t>
      </w:r>
      <w:r w:rsidRPr="00350E33">
        <w:rPr>
          <w:rFonts w:cstheme="minorHAnsi"/>
        </w:rPr>
        <w:t>anche una sentenza emessa dalla Corte di Giustizia Tributaria di I° grado di Milano</w:t>
      </w:r>
      <w:r>
        <w:rPr>
          <w:rFonts w:cstheme="minorHAnsi"/>
        </w:rPr>
        <w:t xml:space="preserve"> (</w:t>
      </w:r>
      <w:r w:rsidRPr="00350E33">
        <w:rPr>
          <w:rFonts w:cstheme="minorHAnsi"/>
        </w:rPr>
        <w:t>sentenza n.260 del 27/1/2023</w:t>
      </w:r>
      <w:r>
        <w:rPr>
          <w:rFonts w:cstheme="minorHAnsi"/>
        </w:rPr>
        <w:t>)</w:t>
      </w:r>
      <w:r w:rsidRPr="00350E33">
        <w:rPr>
          <w:rFonts w:cstheme="minorHAnsi"/>
        </w:rPr>
        <w:t xml:space="preserve"> con la quale i giudici tributari avevano deciso una controversia, affermando che la Provincia o la Città Metropolitana continu</w:t>
      </w:r>
      <w:r>
        <w:rPr>
          <w:rFonts w:cstheme="minorHAnsi"/>
        </w:rPr>
        <w:t>ano</w:t>
      </w:r>
      <w:r w:rsidRPr="00350E33">
        <w:rPr>
          <w:rFonts w:cstheme="minorHAnsi"/>
        </w:rPr>
        <w:t xml:space="preserve">, come in passato, a riscuotere </w:t>
      </w:r>
      <w:r w:rsidRPr="00350E33">
        <w:rPr>
          <w:rFonts w:cstheme="minorHAnsi"/>
        </w:rPr>
        <w:lastRenderedPageBreak/>
        <w:t>il canone relativo alle occupazioni su strade provinciali di loro competenza, senza alcuna pretesa sul presupposto pubblicitario ad esclusivo appannaggio del Comune.</w:t>
      </w:r>
    </w:p>
    <w:p w14:paraId="4741263E" w14:textId="34048FC1" w:rsidR="00FB5A10" w:rsidRPr="00350E33" w:rsidRDefault="00FB5A10" w:rsidP="00FB5A10">
      <w:pPr>
        <w:jc w:val="both"/>
        <w:rPr>
          <w:rFonts w:cstheme="minorHAnsi"/>
        </w:rPr>
      </w:pPr>
      <w:r w:rsidRPr="00350E33">
        <w:rPr>
          <w:rFonts w:cstheme="minorHAnsi"/>
        </w:rPr>
        <w:t xml:space="preserve">Anche per i giudici tributari milanesi era </w:t>
      </w:r>
      <w:r>
        <w:rPr>
          <w:rFonts w:cstheme="minorHAnsi"/>
        </w:rPr>
        <w:t xml:space="preserve">quindi </w:t>
      </w:r>
      <w:r w:rsidRPr="00350E33">
        <w:rPr>
          <w:rFonts w:cstheme="minorHAnsi"/>
        </w:rPr>
        <w:t xml:space="preserve">del tutto irrilevante la circostanza che l’installazione dei mezzi pubblicitari su strade provinciali venisse autorizzata dalla Provincia/Città Metropolitana. Tale competenza autorizzatoria, discendente dall’articolo 23, 4° comma, del Codice della Strada, </w:t>
      </w:r>
      <w:r>
        <w:rPr>
          <w:rFonts w:cstheme="minorHAnsi"/>
        </w:rPr>
        <w:t xml:space="preserve">e non </w:t>
      </w:r>
      <w:proofErr w:type="gramStart"/>
      <w:r>
        <w:rPr>
          <w:rFonts w:cstheme="minorHAnsi"/>
        </w:rPr>
        <w:t xml:space="preserve">comporta </w:t>
      </w:r>
      <w:r w:rsidRPr="00350E33">
        <w:rPr>
          <w:rFonts w:cstheme="minorHAnsi"/>
        </w:rPr>
        <w:t xml:space="preserve"> il</w:t>
      </w:r>
      <w:proofErr w:type="gramEnd"/>
      <w:r w:rsidRPr="00350E33">
        <w:rPr>
          <w:rFonts w:cstheme="minorHAnsi"/>
        </w:rPr>
        <w:t xml:space="preserve"> pagamento del canone per la diffusione di messaggi pubblicitari in favore della </w:t>
      </w:r>
      <w:r>
        <w:rPr>
          <w:rFonts w:cstheme="minorHAnsi"/>
        </w:rPr>
        <w:t>P</w:t>
      </w:r>
      <w:r w:rsidRPr="00350E33">
        <w:rPr>
          <w:rFonts w:cstheme="minorHAnsi"/>
        </w:rPr>
        <w:t>rovincia (così come</w:t>
      </w:r>
      <w:r>
        <w:rPr>
          <w:rFonts w:cstheme="minorHAnsi"/>
        </w:rPr>
        <w:t xml:space="preserve"> </w:t>
      </w:r>
      <w:r w:rsidRPr="00350E33">
        <w:rPr>
          <w:rFonts w:cstheme="minorHAnsi"/>
        </w:rPr>
        <w:t>prima, non implicava il pagamento dell’ICP).</w:t>
      </w:r>
    </w:p>
    <w:p w14:paraId="053DB947" w14:textId="4C226F85" w:rsidR="00217ABF" w:rsidRDefault="00217ABF" w:rsidP="00217ABF">
      <w:pPr>
        <w:jc w:val="both"/>
      </w:pPr>
      <w:r>
        <w:t>Posizione che trova conferma nella sentenza del Tribunale Sardo</w:t>
      </w:r>
      <w:r w:rsidR="00170C3D">
        <w:t xml:space="preserve"> nella quale leggiamo:</w:t>
      </w:r>
    </w:p>
    <w:p w14:paraId="6C2ABF27" w14:textId="272014F3" w:rsidR="00C064C0" w:rsidRPr="00C064C0" w:rsidRDefault="00C064C0" w:rsidP="00C064C0">
      <w:pPr>
        <w:jc w:val="both"/>
        <w:rPr>
          <w:i/>
          <w:iCs/>
        </w:rPr>
      </w:pPr>
      <w:r w:rsidRPr="00C064C0">
        <w:rPr>
          <w:i/>
          <w:iCs/>
        </w:rPr>
        <w:t>“Ritiene il Tribunale, consapevole della sussistenza di contrastanti orientamenti giurisprudenziali, che il canone introdotto dalla l. n. 160 del 2019, nel sostituire i plurimi differenti titoli di prelievo esistenti, non abbia affatto inteso concentrare in un unico soggetto la titolarità del diritto a riscuotere il canone unico patrimoniale.</w:t>
      </w:r>
    </w:p>
    <w:p w14:paraId="6ACBAE02" w14:textId="5721A474" w:rsidR="00C064C0" w:rsidRPr="00C064C0" w:rsidRDefault="00C064C0" w:rsidP="00C064C0">
      <w:pPr>
        <w:jc w:val="both"/>
        <w:rPr>
          <w:i/>
          <w:iCs/>
        </w:rPr>
      </w:pPr>
      <w:r w:rsidRPr="00C064C0">
        <w:rPr>
          <w:i/>
          <w:iCs/>
        </w:rPr>
        <w:t>Ciò in considerazione del fatto che detto canone è costituito da componenti aventi natura e presupposti diversi, ovvero, come in precedenza ricordato, a) quello relativo all'occupazione delle aree appartenenti al demanio e al patrimonio indisponibile degli enti e dello spazio sotto e sovra stanti il suolo pubblico, e b) quello relativo alla diffusione di messaggi pubblicitari laddove siano visibili da luogo pubblico o aperto al pubblico del territorio comunale.</w:t>
      </w:r>
    </w:p>
    <w:p w14:paraId="39578B4B" w14:textId="4957C124" w:rsidR="00C064C0" w:rsidRPr="00C064C0" w:rsidRDefault="00C064C0" w:rsidP="00C064C0">
      <w:pPr>
        <w:jc w:val="both"/>
        <w:rPr>
          <w:i/>
          <w:iCs/>
        </w:rPr>
      </w:pPr>
      <w:r w:rsidRPr="00C064C0">
        <w:rPr>
          <w:i/>
          <w:iCs/>
        </w:rPr>
        <w:t>Ne consegue che, anche a seguito dell’istituzione del canone unico patrimoniale (CUP), spetterà alla Provincia ed all’ANAS s.p.a. la legittimazione a riscuotere la componente riferita all’occupazione di suolo pubblico, mentre spetterà al Comune la legittimazione a riscuotere la componente del canone riferita alla diffusione dei messaggi pubblicitari, dovendosi ritenere che la sola ipotesi di occupazione con impianti pubblicitari di suolo comunale sia soggetta esclusivamente all’applicazione del canone per la diffusione dei messaggi pubblicitari, e non anche di quello per l’occupazione di suolo pubblico, in applicazione del principio di assorbimento stabilito dal comma 820 della l. n. 160 del 2019.</w:t>
      </w:r>
    </w:p>
    <w:p w14:paraId="2C2B1E8A" w14:textId="69B30B31" w:rsidR="00C064C0" w:rsidRDefault="00C064C0" w:rsidP="00C064C0">
      <w:pPr>
        <w:jc w:val="both"/>
        <w:rPr>
          <w:i/>
          <w:iCs/>
        </w:rPr>
      </w:pPr>
      <w:r w:rsidRPr="00C064C0">
        <w:rPr>
          <w:i/>
          <w:iCs/>
        </w:rPr>
        <w:t>Le considerazioni che precedono consentono inoltre di escludere che, nella fattispecie, la duplicazione del prelievo abbia condotto alla violazione del divieto di doppia imposizione (</w:t>
      </w:r>
      <w:proofErr w:type="spellStart"/>
      <w:r w:rsidRPr="00C064C0">
        <w:rPr>
          <w:i/>
          <w:iCs/>
        </w:rPr>
        <w:t>v.in</w:t>
      </w:r>
      <w:proofErr w:type="spellEnd"/>
      <w:r w:rsidRPr="00C064C0">
        <w:rPr>
          <w:i/>
          <w:iCs/>
        </w:rPr>
        <w:t xml:space="preserve"> tal senso </w:t>
      </w:r>
      <w:proofErr w:type="spellStart"/>
      <w:r w:rsidRPr="00C064C0">
        <w:rPr>
          <w:i/>
          <w:iCs/>
        </w:rPr>
        <w:t>Trib</w:t>
      </w:r>
      <w:proofErr w:type="spellEnd"/>
      <w:r w:rsidRPr="00C064C0">
        <w:rPr>
          <w:i/>
          <w:iCs/>
        </w:rPr>
        <w:t xml:space="preserve">. Novara, n. 482 del 2024; </w:t>
      </w:r>
      <w:proofErr w:type="spellStart"/>
      <w:r w:rsidRPr="00C064C0">
        <w:rPr>
          <w:i/>
          <w:iCs/>
        </w:rPr>
        <w:t>Trib</w:t>
      </w:r>
      <w:proofErr w:type="spellEnd"/>
      <w:r w:rsidRPr="00C064C0">
        <w:rPr>
          <w:i/>
          <w:iCs/>
        </w:rPr>
        <w:t xml:space="preserve">. Milano, n. 8844 del 2024; </w:t>
      </w:r>
      <w:proofErr w:type="spellStart"/>
      <w:r w:rsidRPr="00C064C0">
        <w:rPr>
          <w:i/>
          <w:iCs/>
        </w:rPr>
        <w:t>Trib</w:t>
      </w:r>
      <w:proofErr w:type="spellEnd"/>
      <w:r w:rsidRPr="00C064C0">
        <w:rPr>
          <w:i/>
          <w:iCs/>
        </w:rPr>
        <w:t xml:space="preserve">. Macerata, n.1040 del 2024; </w:t>
      </w:r>
      <w:proofErr w:type="spellStart"/>
      <w:r w:rsidRPr="00C064C0">
        <w:rPr>
          <w:i/>
          <w:iCs/>
        </w:rPr>
        <w:t>Trib</w:t>
      </w:r>
      <w:proofErr w:type="spellEnd"/>
      <w:r w:rsidRPr="00C064C0">
        <w:rPr>
          <w:i/>
          <w:iCs/>
        </w:rPr>
        <w:t xml:space="preserve">. Udine, n. 352 del 2024, </w:t>
      </w:r>
      <w:proofErr w:type="spellStart"/>
      <w:r w:rsidRPr="00C064C0">
        <w:rPr>
          <w:i/>
          <w:iCs/>
        </w:rPr>
        <w:t>Trib</w:t>
      </w:r>
      <w:proofErr w:type="spellEnd"/>
      <w:r w:rsidRPr="00C064C0">
        <w:rPr>
          <w:i/>
          <w:iCs/>
        </w:rPr>
        <w:t xml:space="preserve">. Novara, n. 126 del 2025, </w:t>
      </w:r>
      <w:proofErr w:type="spellStart"/>
      <w:r w:rsidRPr="00C064C0">
        <w:rPr>
          <w:i/>
          <w:iCs/>
        </w:rPr>
        <w:t>Trib</w:t>
      </w:r>
      <w:proofErr w:type="spellEnd"/>
      <w:r w:rsidRPr="00C064C0">
        <w:rPr>
          <w:i/>
          <w:iCs/>
        </w:rPr>
        <w:t xml:space="preserve">. Mantova, n.584 del 2025, </w:t>
      </w:r>
      <w:proofErr w:type="spellStart"/>
      <w:r w:rsidRPr="00C064C0">
        <w:rPr>
          <w:i/>
          <w:iCs/>
        </w:rPr>
        <w:t>Trib</w:t>
      </w:r>
      <w:proofErr w:type="spellEnd"/>
      <w:r w:rsidRPr="00C064C0">
        <w:rPr>
          <w:i/>
          <w:iCs/>
        </w:rPr>
        <w:t xml:space="preserve">. Livorno, n. 274 del 2025, </w:t>
      </w:r>
      <w:proofErr w:type="spellStart"/>
      <w:r w:rsidRPr="00C064C0">
        <w:rPr>
          <w:i/>
          <w:iCs/>
        </w:rPr>
        <w:t>Trib</w:t>
      </w:r>
      <w:proofErr w:type="spellEnd"/>
      <w:r w:rsidRPr="00C064C0">
        <w:rPr>
          <w:i/>
          <w:iCs/>
        </w:rPr>
        <w:t>. Chieti, n. 283 del 2025).”</w:t>
      </w:r>
    </w:p>
    <w:p w14:paraId="5A03440B" w14:textId="4F1CEFBD" w:rsidR="00170C3D" w:rsidRPr="00170C3D" w:rsidRDefault="00170C3D" w:rsidP="00C064C0">
      <w:pPr>
        <w:jc w:val="both"/>
      </w:pPr>
      <w:r>
        <w:t xml:space="preserve">Chiara la posizione del Giudice del Tribunale di Tempio, che pur riconoscendo la </w:t>
      </w:r>
      <w:r w:rsidRPr="00170C3D">
        <w:t>sussistenza di contrastanti orientamenti giurisprudenziali</w:t>
      </w:r>
      <w:r>
        <w:t xml:space="preserve">, valuta il presupposto pubblicitario di esclusiva competenza comunale, riservando ad ANAS e alla Provincia </w:t>
      </w:r>
      <w:r w:rsidRPr="00170C3D">
        <w:t xml:space="preserve">la legittimazione a riscuotere </w:t>
      </w:r>
      <w:r>
        <w:t xml:space="preserve">solo </w:t>
      </w:r>
      <w:r w:rsidRPr="00170C3D">
        <w:t>la componente riferita all’occupazione di suolo pubblico</w:t>
      </w:r>
      <w:r w:rsidR="008C2647">
        <w:t xml:space="preserve">, </w:t>
      </w:r>
      <w:r w:rsidR="005E6492">
        <w:t xml:space="preserve">intesa </w:t>
      </w:r>
      <w:r w:rsidR="008C2647">
        <w:t>come Canone non ricognitorio ex articolo 27 Codice della Strada per ANAS</w:t>
      </w:r>
      <w:r w:rsidR="005E6492">
        <w:t xml:space="preserve"> (che non può essere soggetto attivo CUP) </w:t>
      </w:r>
      <w:r w:rsidR="008C2647">
        <w:t xml:space="preserve"> e come </w:t>
      </w:r>
      <w:r w:rsidR="005E6492">
        <w:t>Canone Unico</w:t>
      </w:r>
      <w:r w:rsidR="008C2647">
        <w:t xml:space="preserve"> per le Province e Città Metropolitane.</w:t>
      </w:r>
    </w:p>
    <w:sectPr w:rsidR="00170C3D" w:rsidRPr="00170C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4E"/>
    <w:rsid w:val="00094529"/>
    <w:rsid w:val="00170C3D"/>
    <w:rsid w:val="001C1A15"/>
    <w:rsid w:val="00217ABF"/>
    <w:rsid w:val="002546BB"/>
    <w:rsid w:val="002958A5"/>
    <w:rsid w:val="00366798"/>
    <w:rsid w:val="003B2314"/>
    <w:rsid w:val="00404782"/>
    <w:rsid w:val="004A1434"/>
    <w:rsid w:val="0051744E"/>
    <w:rsid w:val="0056087F"/>
    <w:rsid w:val="005E6492"/>
    <w:rsid w:val="006672EA"/>
    <w:rsid w:val="008C2647"/>
    <w:rsid w:val="00901E7C"/>
    <w:rsid w:val="00996093"/>
    <w:rsid w:val="00AC3D50"/>
    <w:rsid w:val="00BD1408"/>
    <w:rsid w:val="00C064C0"/>
    <w:rsid w:val="00C27A25"/>
    <w:rsid w:val="00D50A6A"/>
    <w:rsid w:val="00F37245"/>
    <w:rsid w:val="00FB5A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A808"/>
  <w15:chartTrackingRefBased/>
  <w15:docId w15:val="{948B1CAE-8DC3-4E0E-99F0-448CDB6F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17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17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1744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1744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1744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1744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1744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1744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1744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1744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1744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1744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1744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1744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1744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1744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1744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1744E"/>
    <w:rPr>
      <w:rFonts w:eastAsiaTheme="majorEastAsia" w:cstheme="majorBidi"/>
      <w:color w:val="272727" w:themeColor="text1" w:themeTint="D8"/>
    </w:rPr>
  </w:style>
  <w:style w:type="paragraph" w:styleId="Titolo">
    <w:name w:val="Title"/>
    <w:basedOn w:val="Normale"/>
    <w:next w:val="Normale"/>
    <w:link w:val="TitoloCarattere"/>
    <w:uiPriority w:val="10"/>
    <w:qFormat/>
    <w:rsid w:val="00517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1744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1744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1744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174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1744E"/>
    <w:rPr>
      <w:i/>
      <w:iCs/>
      <w:color w:val="404040" w:themeColor="text1" w:themeTint="BF"/>
    </w:rPr>
  </w:style>
  <w:style w:type="paragraph" w:styleId="Paragrafoelenco">
    <w:name w:val="List Paragraph"/>
    <w:basedOn w:val="Normale"/>
    <w:uiPriority w:val="34"/>
    <w:qFormat/>
    <w:rsid w:val="0051744E"/>
    <w:pPr>
      <w:ind w:left="720"/>
      <w:contextualSpacing/>
    </w:pPr>
  </w:style>
  <w:style w:type="character" w:styleId="Enfasiintensa">
    <w:name w:val="Intense Emphasis"/>
    <w:basedOn w:val="Carpredefinitoparagrafo"/>
    <w:uiPriority w:val="21"/>
    <w:qFormat/>
    <w:rsid w:val="0051744E"/>
    <w:rPr>
      <w:i/>
      <w:iCs/>
      <w:color w:val="2F5496" w:themeColor="accent1" w:themeShade="BF"/>
    </w:rPr>
  </w:style>
  <w:style w:type="paragraph" w:styleId="Citazioneintensa">
    <w:name w:val="Intense Quote"/>
    <w:basedOn w:val="Normale"/>
    <w:next w:val="Normale"/>
    <w:link w:val="CitazioneintensaCarattere"/>
    <w:uiPriority w:val="30"/>
    <w:qFormat/>
    <w:rsid w:val="00517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1744E"/>
    <w:rPr>
      <w:i/>
      <w:iCs/>
      <w:color w:val="2F5496" w:themeColor="accent1" w:themeShade="BF"/>
    </w:rPr>
  </w:style>
  <w:style w:type="character" w:styleId="Riferimentointenso">
    <w:name w:val="Intense Reference"/>
    <w:basedOn w:val="Carpredefinitoparagrafo"/>
    <w:uiPriority w:val="32"/>
    <w:qFormat/>
    <w:rsid w:val="0051744E"/>
    <w:rPr>
      <w:b/>
      <w:bCs/>
      <w:smallCaps/>
      <w:color w:val="2F5496" w:themeColor="accent1" w:themeShade="BF"/>
      <w:spacing w:val="5"/>
    </w:rPr>
  </w:style>
  <w:style w:type="character" w:styleId="Rimandocommento">
    <w:name w:val="annotation reference"/>
    <w:basedOn w:val="Carpredefinitoparagrafo"/>
    <w:uiPriority w:val="99"/>
    <w:semiHidden/>
    <w:unhideWhenUsed/>
    <w:rsid w:val="00094529"/>
    <w:rPr>
      <w:sz w:val="16"/>
      <w:szCs w:val="16"/>
    </w:rPr>
  </w:style>
  <w:style w:type="paragraph" w:styleId="Testocommento">
    <w:name w:val="annotation text"/>
    <w:basedOn w:val="Normale"/>
    <w:link w:val="TestocommentoCarattere"/>
    <w:uiPriority w:val="99"/>
    <w:semiHidden/>
    <w:unhideWhenUsed/>
    <w:rsid w:val="0009452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094529"/>
    <w:rPr>
      <w:sz w:val="20"/>
      <w:szCs w:val="20"/>
    </w:rPr>
  </w:style>
  <w:style w:type="paragraph" w:styleId="Soggettocommento">
    <w:name w:val="annotation subject"/>
    <w:basedOn w:val="Testocommento"/>
    <w:next w:val="Testocommento"/>
    <w:link w:val="SoggettocommentoCarattere"/>
    <w:uiPriority w:val="99"/>
    <w:semiHidden/>
    <w:unhideWhenUsed/>
    <w:rsid w:val="00094529"/>
    <w:rPr>
      <w:b/>
      <w:bCs/>
    </w:rPr>
  </w:style>
  <w:style w:type="character" w:customStyle="1" w:styleId="SoggettocommentoCarattere">
    <w:name w:val="Soggetto commento Carattere"/>
    <w:basedOn w:val="TestocommentoCarattere"/>
    <w:link w:val="Soggettocommento"/>
    <w:uiPriority w:val="99"/>
    <w:semiHidden/>
    <w:rsid w:val="000945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1043</Words>
  <Characters>5948</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11</cp:revision>
  <dcterms:created xsi:type="dcterms:W3CDTF">2025-10-22T14:40:00Z</dcterms:created>
  <dcterms:modified xsi:type="dcterms:W3CDTF">2025-10-25T13:35:00Z</dcterms:modified>
</cp:coreProperties>
</file>